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7EA2C7FF"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26</w:t>
      </w:r>
      <w:r w:rsidRPr="00863065">
        <w:rPr>
          <w:rFonts w:cs="Arial"/>
        </w:rPr>
        <w:tab/>
        <w:t>R</w:t>
      </w:r>
      <w:r>
        <w:rPr>
          <w:rFonts w:cs="Arial" w:hint="eastAsia"/>
        </w:rPr>
        <w:t>2</w:t>
      </w:r>
      <w:r w:rsidRPr="00863065">
        <w:rPr>
          <w:rFonts w:cs="Arial"/>
        </w:rPr>
        <w:t>-</w:t>
      </w:r>
      <w:r>
        <w:rPr>
          <w:rFonts w:cs="Arial"/>
        </w:rPr>
        <w:t>2</w:t>
      </w:r>
      <w:r w:rsidR="00D40190">
        <w:rPr>
          <w:rFonts w:cs="Arial"/>
        </w:rPr>
        <w:t>4</w:t>
      </w:r>
      <w:r w:rsidR="00CA179F">
        <w:rPr>
          <w:rFonts w:cs="Arial"/>
        </w:rPr>
        <w:t>05603</w:t>
      </w:r>
    </w:p>
    <w:p w14:paraId="298061C1" w14:textId="6BBD16A0" w:rsidR="005857F6" w:rsidRPr="00863065" w:rsidRDefault="00D40190" w:rsidP="005857F6">
      <w:pPr>
        <w:pStyle w:val="a7"/>
        <w:tabs>
          <w:tab w:val="left" w:pos="709"/>
          <w:tab w:val="right" w:pos="9639"/>
        </w:tabs>
        <w:spacing w:after="0"/>
        <w:jc w:val="left"/>
        <w:rPr>
          <w:rFonts w:cs="Arial"/>
          <w:lang w:val="en-US"/>
        </w:rPr>
      </w:pPr>
      <w:r>
        <w:rPr>
          <w:rFonts w:cs="Arial"/>
          <w:lang w:val="en-US"/>
        </w:rPr>
        <w:t>Fukuoka</w:t>
      </w:r>
      <w:r w:rsidR="005857F6">
        <w:rPr>
          <w:rFonts w:cs="Arial"/>
          <w:lang w:val="en-US"/>
        </w:rPr>
        <w:t xml:space="preserve">, </w:t>
      </w:r>
      <w:r>
        <w:rPr>
          <w:rFonts w:cs="Arial"/>
          <w:lang w:val="en-US"/>
        </w:rPr>
        <w:t>Japan</w:t>
      </w:r>
      <w:r w:rsidR="005857F6">
        <w:rPr>
          <w:rFonts w:cs="Arial"/>
          <w:lang w:val="en-US"/>
        </w:rPr>
        <w:t>, 2</w:t>
      </w:r>
      <w:r>
        <w:rPr>
          <w:rFonts w:cs="Arial"/>
          <w:lang w:val="en-US"/>
        </w:rPr>
        <w:t>0</w:t>
      </w:r>
      <w:r w:rsidR="005857F6">
        <w:rPr>
          <w:rFonts w:cs="Arial"/>
          <w:vertAlign w:val="superscript"/>
          <w:lang w:val="en-US"/>
        </w:rPr>
        <w:t>th</w:t>
      </w:r>
      <w:r w:rsidR="005857F6">
        <w:rPr>
          <w:rFonts w:cs="Arial" w:hint="eastAsia"/>
          <w:lang w:val="en-US"/>
        </w:rPr>
        <w:t xml:space="preserve"> </w:t>
      </w:r>
      <w:r w:rsidR="005857F6">
        <w:rPr>
          <w:rFonts w:cs="Arial"/>
          <w:lang w:val="en-US"/>
        </w:rPr>
        <w:t>–</w:t>
      </w:r>
      <w:r w:rsidR="005857F6">
        <w:rPr>
          <w:rFonts w:cs="Arial" w:hint="eastAsia"/>
          <w:lang w:val="en-US"/>
        </w:rPr>
        <w:t xml:space="preserve"> </w:t>
      </w:r>
      <w:r>
        <w:rPr>
          <w:rFonts w:cs="Arial"/>
          <w:lang w:val="en-US"/>
        </w:rPr>
        <w:t>24</w:t>
      </w:r>
      <w:r w:rsidRPr="00D40190">
        <w:rPr>
          <w:rFonts w:cs="Arial"/>
          <w:vertAlign w:val="superscript"/>
          <w:lang w:val="en-US"/>
        </w:rPr>
        <w:t>th</w:t>
      </w:r>
      <w:r>
        <w:rPr>
          <w:rFonts w:cs="Arial"/>
          <w:lang w:val="en-US"/>
        </w:rPr>
        <w:t xml:space="preserve"> </w:t>
      </w:r>
      <w:r w:rsidR="005857F6">
        <w:rPr>
          <w:rFonts w:cs="Arial"/>
          <w:lang w:val="en-US"/>
        </w:rPr>
        <w:t>Ma</w:t>
      </w:r>
      <w:r>
        <w:rPr>
          <w:rFonts w:cs="Arial"/>
          <w:lang w:val="en-US"/>
        </w:rPr>
        <w:t>y</w:t>
      </w:r>
      <w:r w:rsidR="005857F6" w:rsidRPr="00802E96">
        <w:rPr>
          <w:rFonts w:cs="Arial"/>
          <w:lang w:val="en-US"/>
        </w:rPr>
        <w:t xml:space="preserve"> 20</w:t>
      </w:r>
      <w:r w:rsidR="005857F6">
        <w:rPr>
          <w:rFonts w:cs="Arial"/>
          <w:lang w:val="en-US"/>
        </w:rPr>
        <w:t>2</w:t>
      </w:r>
      <w:r>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DB7C6F3"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62D63" w:rsidRPr="00F62D63">
        <w:rPr>
          <w:rFonts w:cs="Arial"/>
          <w:b/>
          <w:sz w:val="24"/>
        </w:rPr>
        <w:t xml:space="preserve">Discussion on </w:t>
      </w:r>
      <w:r w:rsidR="007E239A" w:rsidRPr="007E239A">
        <w:rPr>
          <w:rFonts w:cs="Arial"/>
          <w:b/>
          <w:sz w:val="24"/>
        </w:rPr>
        <w:t>initial trigger message (paging-like message) on Ambient IoT</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1B84E2CD"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62D63">
        <w:rPr>
          <w:rFonts w:cs="Arial"/>
          <w:b/>
          <w:sz w:val="24"/>
        </w:rPr>
        <w:t>8</w:t>
      </w:r>
      <w:r>
        <w:rPr>
          <w:rFonts w:cs="Arial"/>
          <w:b/>
          <w:sz w:val="24"/>
        </w:rPr>
        <w:t>.</w:t>
      </w:r>
      <w:r w:rsidR="00903130">
        <w:rPr>
          <w:rFonts w:cs="Arial"/>
          <w:b/>
          <w:sz w:val="24"/>
        </w:rPr>
        <w:t>2</w:t>
      </w:r>
      <w:r>
        <w:rPr>
          <w:rFonts w:cs="Arial"/>
          <w:b/>
          <w:sz w:val="24"/>
        </w:rPr>
        <w:t>.</w:t>
      </w:r>
      <w:r w:rsidR="00F825CF">
        <w:rPr>
          <w:rFonts w:cs="Arial"/>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3334668D" w:rsidR="007E2FC8" w:rsidRPr="00262F8E" w:rsidRDefault="00485A0F" w:rsidP="007E2FC8">
      <w:pPr>
        <w:rPr>
          <w:szCs w:val="22"/>
        </w:rPr>
      </w:pPr>
      <w:r>
        <w:rPr>
          <w:rFonts w:hint="eastAsia"/>
          <w:szCs w:val="22"/>
        </w:rPr>
        <w:t>T</w:t>
      </w:r>
      <w:r>
        <w:rPr>
          <w:szCs w:val="22"/>
        </w:rPr>
        <w:t>his contribution is to discuss and provide our views on issues about the initial trigger message.</w:t>
      </w:r>
    </w:p>
    <w:p w14:paraId="375CDE38" w14:textId="77777777" w:rsidR="007E2FC8" w:rsidRDefault="007E2FC8" w:rsidP="007E2FC8">
      <w:pPr>
        <w:pStyle w:val="2"/>
        <w:numPr>
          <w:ilvl w:val="0"/>
          <w:numId w:val="2"/>
        </w:numPr>
      </w:pPr>
      <w:r>
        <w:rPr>
          <w:rFonts w:hint="eastAsia"/>
        </w:rPr>
        <w:t>Discussion</w:t>
      </w:r>
    </w:p>
    <w:p w14:paraId="00C5D3A1" w14:textId="36CB1BB4" w:rsidR="007E2FC8" w:rsidRDefault="00485A0F" w:rsidP="007E2FC8">
      <w:pPr>
        <w:pStyle w:val="2"/>
        <w:numPr>
          <w:ilvl w:val="1"/>
          <w:numId w:val="2"/>
        </w:numPr>
        <w:rPr>
          <w:rFonts w:cs="Arial"/>
        </w:rPr>
      </w:pPr>
      <w:r>
        <w:rPr>
          <w:rFonts w:cs="Arial"/>
        </w:rPr>
        <w:t>Issue on indication of Device ID</w:t>
      </w:r>
    </w:p>
    <w:p w14:paraId="01F2FEF2" w14:textId="1E70D890" w:rsidR="007E2FC8" w:rsidRDefault="00485A0F" w:rsidP="007E2FC8">
      <w:pPr>
        <w:rPr>
          <w:bCs/>
          <w:szCs w:val="22"/>
        </w:rPr>
      </w:pPr>
      <w:r>
        <w:rPr>
          <w:rFonts w:hint="eastAsia"/>
          <w:bCs/>
          <w:szCs w:val="22"/>
        </w:rPr>
        <w:t>I</w:t>
      </w:r>
      <w:r>
        <w:rPr>
          <w:bCs/>
          <w:szCs w:val="22"/>
        </w:rPr>
        <w:t xml:space="preserve">n the last meeting we have reached an agreement </w:t>
      </w:r>
      <w:r w:rsidR="00982FE2">
        <w:rPr>
          <w:bCs/>
          <w:szCs w:val="22"/>
        </w:rPr>
        <w:t>that the initial trigger message is followed by a random access-like procedure as below</w:t>
      </w:r>
      <w:r>
        <w:rPr>
          <w:bCs/>
          <w:szCs w:val="22"/>
        </w:rPr>
        <w:t xml:space="preserve"> (in yellow) </w:t>
      </w:r>
      <w:r w:rsidR="00DF134B">
        <w:rPr>
          <w:bCs/>
          <w:szCs w:val="22"/>
        </w:rPr>
        <w:t>[1]</w:t>
      </w:r>
      <w:r>
        <w:rPr>
          <w:bCs/>
          <w:szCs w:val="22"/>
        </w:rPr>
        <w:t>.</w:t>
      </w:r>
    </w:p>
    <w:tbl>
      <w:tblPr>
        <w:tblStyle w:val="aa"/>
        <w:tblW w:w="0" w:type="auto"/>
        <w:tblLook w:val="04A0" w:firstRow="1" w:lastRow="0" w:firstColumn="1" w:lastColumn="0" w:noHBand="0" w:noVBand="1"/>
      </w:tblPr>
      <w:tblGrid>
        <w:gridCol w:w="9629"/>
      </w:tblGrid>
      <w:tr w:rsidR="00982FE2" w14:paraId="4EEBB6A3" w14:textId="77777777" w:rsidTr="00982FE2">
        <w:tc>
          <w:tcPr>
            <w:tcW w:w="9629" w:type="dxa"/>
          </w:tcPr>
          <w:p w14:paraId="59349118" w14:textId="77777777" w:rsidR="00982FE2" w:rsidRPr="00982FE2" w:rsidRDefault="00982FE2" w:rsidP="00982FE2">
            <w:pPr>
              <w:spacing w:after="0"/>
              <w:ind w:left="288"/>
              <w:rPr>
                <w:rFonts w:ascii="Calibri" w:eastAsia="游ゴシック" w:hAnsi="Calibri" w:cs="Calibri"/>
                <w:sz w:val="22"/>
                <w:szCs w:val="22"/>
              </w:rPr>
            </w:pPr>
            <w:r w:rsidRPr="00982FE2">
              <w:rPr>
                <w:rFonts w:ascii="Calibri" w:eastAsia="游ゴシック" w:hAnsi="Calibri" w:cs="Calibri"/>
                <w:b/>
                <w:bCs/>
                <w:sz w:val="22"/>
                <w:szCs w:val="22"/>
              </w:rPr>
              <w:t>Agreements</w:t>
            </w:r>
          </w:p>
          <w:p w14:paraId="50AF2D1E" w14:textId="77777777" w:rsidR="00982FE2" w:rsidRPr="00982FE2" w:rsidRDefault="00982FE2" w:rsidP="00982FE2">
            <w:pPr>
              <w:numPr>
                <w:ilvl w:val="0"/>
                <w:numId w:val="5"/>
              </w:numPr>
              <w:spacing w:after="0"/>
              <w:textAlignment w:val="center"/>
              <w:rPr>
                <w:rFonts w:ascii="Calibri" w:eastAsia="游ゴシック" w:hAnsi="Calibri" w:cs="Calibri"/>
                <w:sz w:val="22"/>
                <w:szCs w:val="22"/>
              </w:rPr>
            </w:pPr>
            <w:r w:rsidRPr="00982FE2">
              <w:rPr>
                <w:rFonts w:ascii="Calibri" w:eastAsia="游ゴシック" w:hAnsi="Calibri" w:cs="Calibri"/>
                <w:sz w:val="22"/>
                <w:szCs w:val="22"/>
              </w:rPr>
              <w:t xml:space="preserve">Unless explicitly stated all agreements apply to all device types and for both topologies.  </w:t>
            </w:r>
          </w:p>
          <w:p w14:paraId="6B62CB36" w14:textId="77777777" w:rsidR="00982FE2" w:rsidRPr="00982FE2" w:rsidRDefault="00982FE2" w:rsidP="00982FE2">
            <w:pPr>
              <w:numPr>
                <w:ilvl w:val="0"/>
                <w:numId w:val="5"/>
              </w:numPr>
              <w:spacing w:after="0"/>
              <w:textAlignment w:val="center"/>
              <w:rPr>
                <w:rFonts w:ascii="Calibri" w:eastAsia="游ゴシック" w:hAnsi="Calibri" w:cs="Calibri"/>
                <w:sz w:val="22"/>
                <w:szCs w:val="22"/>
              </w:rPr>
            </w:pPr>
            <w:r w:rsidRPr="00982FE2">
              <w:rPr>
                <w:rFonts w:ascii="Calibri" w:eastAsia="游ゴシック" w:hAnsi="Calibri" w:cs="Calibri"/>
                <w:sz w:val="22"/>
                <w:szCs w:val="22"/>
              </w:rPr>
              <w:t xml:space="preserve">From RAN2 perspective, the aim is that the design on the interface between reader and A-IoT device is common for topology 1 and topology 2.  </w:t>
            </w:r>
          </w:p>
          <w:p w14:paraId="481AC55C" w14:textId="77777777" w:rsidR="00982FE2" w:rsidRPr="00982FE2" w:rsidRDefault="00982FE2" w:rsidP="00982FE2">
            <w:pPr>
              <w:numPr>
                <w:ilvl w:val="0"/>
                <w:numId w:val="5"/>
              </w:numPr>
              <w:spacing w:after="0"/>
              <w:textAlignment w:val="center"/>
              <w:rPr>
                <w:rFonts w:ascii="Calibri" w:eastAsia="游ゴシック" w:hAnsi="Calibri" w:cs="Calibri"/>
                <w:sz w:val="22"/>
                <w:szCs w:val="22"/>
              </w:rPr>
            </w:pPr>
            <w:r w:rsidRPr="00982FE2">
              <w:rPr>
                <w:rFonts w:ascii="Calibri" w:eastAsia="游ゴシック" w:hAnsi="Calibri" w:cs="Calibri"/>
                <w:sz w:val="22"/>
                <w:szCs w:val="22"/>
              </w:rPr>
              <w:t>RAN2 will support two use cases, “inventory” and “command”.  The definition, detailed wording is FFS</w:t>
            </w:r>
          </w:p>
          <w:p w14:paraId="4612463E" w14:textId="77777777" w:rsidR="00982FE2" w:rsidRPr="00982FE2" w:rsidRDefault="00982FE2" w:rsidP="00982FE2">
            <w:pPr>
              <w:numPr>
                <w:ilvl w:val="0"/>
                <w:numId w:val="5"/>
              </w:numPr>
              <w:spacing w:after="0"/>
              <w:textAlignment w:val="center"/>
              <w:rPr>
                <w:rFonts w:ascii="Calibri" w:eastAsia="游ゴシック" w:hAnsi="Calibri" w:cs="Calibri"/>
                <w:sz w:val="22"/>
                <w:szCs w:val="22"/>
                <w:highlight w:val="yellow"/>
              </w:rPr>
            </w:pPr>
            <w:r w:rsidRPr="00982FE2">
              <w:rPr>
                <w:rFonts w:ascii="Calibri" w:eastAsia="游ゴシック" w:hAnsi="Calibri" w:cs="Calibri"/>
                <w:sz w:val="22"/>
                <w:szCs w:val="22"/>
                <w:highlight w:val="yellow"/>
              </w:rPr>
              <w:t>Baseline procedure:</w:t>
            </w:r>
          </w:p>
          <w:p w14:paraId="461DA0F9" w14:textId="77777777" w:rsidR="00982FE2" w:rsidRPr="00982FE2" w:rsidRDefault="00982FE2" w:rsidP="00982FE2">
            <w:pPr>
              <w:spacing w:after="0"/>
              <w:ind w:left="1080"/>
              <w:rPr>
                <w:rFonts w:ascii="Calibri" w:eastAsia="游ゴシック" w:hAnsi="Calibri" w:cs="Calibri"/>
                <w:sz w:val="22"/>
                <w:szCs w:val="22"/>
                <w:highlight w:val="yellow"/>
              </w:rPr>
            </w:pPr>
            <w:r w:rsidRPr="00982FE2">
              <w:rPr>
                <w:rFonts w:ascii="Calibri" w:eastAsia="游ゴシック" w:hAnsi="Calibri" w:cs="Calibri"/>
                <w:sz w:val="22"/>
                <w:szCs w:val="22"/>
                <w:highlight w:val="yellow"/>
              </w:rPr>
              <w:t>Step A: Based on the service request, the reader sends the Initial Trigger Message indicating device(s) that need to respond; Details FFS</w:t>
            </w:r>
          </w:p>
          <w:p w14:paraId="79B5523C" w14:textId="77777777" w:rsidR="00982FE2" w:rsidRPr="00982FE2" w:rsidRDefault="00982FE2" w:rsidP="00982FE2">
            <w:pPr>
              <w:spacing w:after="0"/>
              <w:ind w:left="1080"/>
              <w:rPr>
                <w:rFonts w:ascii="Calibri" w:eastAsia="游ゴシック" w:hAnsi="Calibri" w:cs="Calibri"/>
                <w:sz w:val="22"/>
                <w:szCs w:val="22"/>
                <w:highlight w:val="yellow"/>
              </w:rPr>
            </w:pPr>
            <w:r w:rsidRPr="00982FE2">
              <w:rPr>
                <w:rFonts w:ascii="Calibri" w:eastAsia="游ゴシック" w:hAnsi="Calibri" w:cs="Calibri"/>
                <w:sz w:val="22"/>
                <w:szCs w:val="22"/>
                <w:highlight w:val="yellow"/>
              </w:rPr>
              <w:t>Step B: Triggered device(s) performs the random access-like procedure, if needed; Details FFS</w:t>
            </w:r>
          </w:p>
          <w:p w14:paraId="3C20C993" w14:textId="77777777" w:rsidR="00982FE2" w:rsidRPr="00982FE2" w:rsidRDefault="00982FE2" w:rsidP="00982FE2">
            <w:pPr>
              <w:spacing w:after="0"/>
              <w:ind w:left="1080"/>
              <w:rPr>
                <w:rFonts w:ascii="Calibri" w:eastAsia="游ゴシック" w:hAnsi="Calibri" w:cs="Calibri"/>
                <w:sz w:val="22"/>
                <w:szCs w:val="22"/>
              </w:rPr>
            </w:pPr>
            <w:r w:rsidRPr="00982FE2">
              <w:rPr>
                <w:rFonts w:ascii="Calibri" w:eastAsia="游ゴシック" w:hAnsi="Calibri" w:cs="Calibri"/>
                <w:sz w:val="22"/>
                <w:szCs w:val="22"/>
                <w:highlight w:val="yellow"/>
              </w:rPr>
              <w:t xml:space="preserve">Step C: The device may perform the data communication with the reader as </w:t>
            </w:r>
            <w:proofErr w:type="gramStart"/>
            <w:r w:rsidRPr="00982FE2">
              <w:rPr>
                <w:rFonts w:ascii="Calibri" w:eastAsia="游ゴシック" w:hAnsi="Calibri" w:cs="Calibri"/>
                <w:sz w:val="22"/>
                <w:szCs w:val="22"/>
                <w:highlight w:val="yellow"/>
              </w:rPr>
              <w:t>needed,:</w:t>
            </w:r>
            <w:proofErr w:type="gramEnd"/>
            <w:r w:rsidRPr="00982FE2">
              <w:rPr>
                <w:rFonts w:ascii="Calibri" w:eastAsia="游ゴシック" w:hAnsi="Calibri" w:cs="Calibri"/>
                <w:sz w:val="22"/>
                <w:szCs w:val="22"/>
                <w:highlight w:val="yellow"/>
              </w:rPr>
              <w:t xml:space="preserve"> Details FFS</w:t>
            </w:r>
          </w:p>
          <w:p w14:paraId="50E1D6F5" w14:textId="77777777" w:rsidR="00982FE2" w:rsidRPr="00982FE2" w:rsidRDefault="00982FE2" w:rsidP="00982FE2">
            <w:pPr>
              <w:numPr>
                <w:ilvl w:val="0"/>
                <w:numId w:val="6"/>
              </w:numPr>
              <w:spacing w:after="0"/>
              <w:textAlignment w:val="center"/>
              <w:rPr>
                <w:rFonts w:ascii="Calibri" w:eastAsia="游ゴシック" w:hAnsi="Calibri" w:cs="Calibri"/>
                <w:sz w:val="22"/>
                <w:szCs w:val="22"/>
              </w:rPr>
            </w:pPr>
            <w:r w:rsidRPr="00982FE2">
              <w:rPr>
                <w:rFonts w:ascii="Calibri" w:eastAsia="游ゴシック" w:hAnsi="Calibri" w:cs="Calibri"/>
                <w:sz w:val="22"/>
                <w:szCs w:val="22"/>
              </w:rPr>
              <w:t xml:space="preserve">We will study the support of both “inventory” and “command” in the same procedure.  </w:t>
            </w:r>
          </w:p>
          <w:p w14:paraId="03004495" w14:textId="77777777" w:rsidR="00982FE2" w:rsidRPr="00982FE2" w:rsidRDefault="00982FE2" w:rsidP="00982FE2">
            <w:pPr>
              <w:numPr>
                <w:ilvl w:val="0"/>
                <w:numId w:val="6"/>
              </w:numPr>
              <w:spacing w:after="0"/>
              <w:textAlignment w:val="center"/>
              <w:rPr>
                <w:rFonts w:ascii="Calibri" w:eastAsia="游ゴシック" w:hAnsi="Calibri" w:cs="Calibri"/>
                <w:sz w:val="22"/>
                <w:szCs w:val="22"/>
              </w:rPr>
            </w:pPr>
            <w:r w:rsidRPr="00982FE2">
              <w:rPr>
                <w:rFonts w:ascii="Calibri" w:eastAsia="游ゴシック" w:hAnsi="Calibri" w:cs="Calibri"/>
                <w:sz w:val="22"/>
                <w:szCs w:val="22"/>
              </w:rPr>
              <w:t xml:space="preserve">FFS if </w:t>
            </w:r>
            <w:r w:rsidRPr="00982FE2">
              <w:rPr>
                <w:rFonts w:ascii="Calibri" w:eastAsia="游ゴシック" w:hAnsi="Calibri" w:cs="Calibri"/>
                <w:i/>
                <w:iCs/>
                <w:sz w:val="22"/>
                <w:szCs w:val="22"/>
              </w:rPr>
              <w:t xml:space="preserve">Initial Trigger Message </w:t>
            </w:r>
            <w:r w:rsidRPr="00982FE2">
              <w:rPr>
                <w:rFonts w:ascii="Calibri" w:eastAsia="游ゴシック" w:hAnsi="Calibri" w:cs="Calibri"/>
                <w:sz w:val="22"/>
                <w:szCs w:val="22"/>
              </w:rPr>
              <w:t xml:space="preserve">can also include “command”.  </w:t>
            </w:r>
          </w:p>
          <w:p w14:paraId="3C53B7DC" w14:textId="77777777" w:rsidR="00982FE2" w:rsidRPr="00982FE2" w:rsidRDefault="00982FE2" w:rsidP="00982FE2">
            <w:pPr>
              <w:numPr>
                <w:ilvl w:val="0"/>
                <w:numId w:val="6"/>
              </w:numPr>
              <w:spacing w:after="0"/>
              <w:textAlignment w:val="center"/>
              <w:rPr>
                <w:rFonts w:ascii="Calibri" w:eastAsia="游ゴシック" w:hAnsi="Calibri" w:cs="Calibri"/>
                <w:sz w:val="22"/>
                <w:szCs w:val="22"/>
              </w:rPr>
            </w:pPr>
            <w:r w:rsidRPr="00982FE2">
              <w:rPr>
                <w:rFonts w:ascii="Calibri" w:eastAsia="游ゴシック" w:hAnsi="Calibri" w:cs="Calibri"/>
                <w:sz w:val="22"/>
                <w:szCs w:val="22"/>
              </w:rPr>
              <w:t xml:space="preserve">RAN2 will continue the study of ambient IoT assuming no support of AS security until SA3 provides further input.   </w:t>
            </w:r>
          </w:p>
          <w:p w14:paraId="72C14172" w14:textId="77777777" w:rsidR="00982FE2" w:rsidRPr="00982FE2" w:rsidRDefault="00982FE2" w:rsidP="00982FE2">
            <w:pPr>
              <w:spacing w:after="0"/>
              <w:ind w:left="288"/>
              <w:rPr>
                <w:rFonts w:ascii="Calibri" w:eastAsia="游ゴシック" w:hAnsi="Calibri" w:cs="Calibri"/>
                <w:sz w:val="22"/>
                <w:szCs w:val="22"/>
              </w:rPr>
            </w:pPr>
            <w:r w:rsidRPr="00982FE2">
              <w:rPr>
                <w:rFonts w:ascii="Calibri" w:eastAsia="游ゴシック" w:hAnsi="Calibri" w:cs="Calibri"/>
                <w:sz w:val="22"/>
                <w:szCs w:val="22"/>
              </w:rPr>
              <w:t>Whether to send an LS to SA3 and the wording on the LS [CB]</w:t>
            </w:r>
          </w:p>
          <w:p w14:paraId="556997A7" w14:textId="519C4460" w:rsidR="00982FE2" w:rsidRPr="00982FE2" w:rsidRDefault="00982FE2" w:rsidP="00982FE2">
            <w:pPr>
              <w:spacing w:after="0"/>
              <w:ind w:left="288"/>
              <w:rPr>
                <w:rFonts w:ascii="Calibri" w:eastAsia="游ゴシック" w:hAnsi="Calibri" w:cs="Calibri"/>
                <w:sz w:val="22"/>
                <w:szCs w:val="22"/>
              </w:rPr>
            </w:pPr>
            <w:r w:rsidRPr="00982FE2">
              <w:rPr>
                <w:rFonts w:ascii="Calibri" w:eastAsia="游ゴシック" w:hAnsi="Calibri" w:cs="Calibri"/>
                <w:b/>
                <w:bCs/>
                <w:sz w:val="22"/>
                <w:szCs w:val="22"/>
              </w:rPr>
              <w:t> </w:t>
            </w:r>
          </w:p>
        </w:tc>
      </w:tr>
    </w:tbl>
    <w:p w14:paraId="2B6D2A0F" w14:textId="77777777" w:rsidR="00982FE2" w:rsidRDefault="00982FE2" w:rsidP="007E2FC8">
      <w:pPr>
        <w:rPr>
          <w:bCs/>
          <w:szCs w:val="22"/>
        </w:rPr>
      </w:pPr>
    </w:p>
    <w:p w14:paraId="2DFD27F0" w14:textId="77777777" w:rsidR="00780551" w:rsidRDefault="00780551" w:rsidP="00780551">
      <w:pPr>
        <w:rPr>
          <w:bCs/>
          <w:szCs w:val="22"/>
        </w:rPr>
      </w:pPr>
      <w:r>
        <w:rPr>
          <w:bCs/>
          <w:szCs w:val="22"/>
        </w:rPr>
        <w:t xml:space="preserve">We would like to </w:t>
      </w:r>
      <w:bookmarkStart w:id="0" w:name="_Hlk166234796"/>
      <w:r>
        <w:rPr>
          <w:bCs/>
          <w:szCs w:val="22"/>
        </w:rPr>
        <w:t>provide an example of whole picture of call flows of the baseline procedure</w:t>
      </w:r>
      <w:r>
        <w:rPr>
          <w:rFonts w:hint="eastAsia"/>
          <w:bCs/>
          <w:szCs w:val="22"/>
        </w:rPr>
        <w:t xml:space="preserve"> </w:t>
      </w:r>
      <w:r>
        <w:rPr>
          <w:bCs/>
          <w:szCs w:val="22"/>
        </w:rPr>
        <w:t>for Inventory use case.</w:t>
      </w:r>
      <w:bookmarkEnd w:id="0"/>
      <w:r>
        <w:rPr>
          <w:bCs/>
          <w:szCs w:val="22"/>
        </w:rPr>
        <w:t xml:space="preserve"> </w:t>
      </w:r>
      <w:bookmarkStart w:id="1" w:name="_Hlk166234767"/>
      <w:r>
        <w:rPr>
          <w:bCs/>
          <w:szCs w:val="22"/>
        </w:rPr>
        <w:t>Following procedures and descriptions are captured in another contribution [2], and we mentioned to other use cases in the Tdoc.</w:t>
      </w:r>
      <w:bookmarkEnd w:id="1"/>
    </w:p>
    <w:tbl>
      <w:tblPr>
        <w:tblStyle w:val="aa"/>
        <w:tblW w:w="0" w:type="auto"/>
        <w:tblLook w:val="04A0" w:firstRow="1" w:lastRow="0" w:firstColumn="1" w:lastColumn="0" w:noHBand="0" w:noVBand="1"/>
      </w:tblPr>
      <w:tblGrid>
        <w:gridCol w:w="9629"/>
      </w:tblGrid>
      <w:tr w:rsidR="00780551" w14:paraId="1FF6AD8F" w14:textId="77777777" w:rsidTr="00D26F02">
        <w:tc>
          <w:tcPr>
            <w:tcW w:w="9629" w:type="dxa"/>
          </w:tcPr>
          <w:p w14:paraId="63F1DF67" w14:textId="77777777" w:rsidR="00780551" w:rsidRDefault="00780551" w:rsidP="00D26F02">
            <w:pPr>
              <w:rPr>
                <w:bCs/>
                <w:szCs w:val="22"/>
              </w:rPr>
            </w:pPr>
            <w:r>
              <w:rPr>
                <w:bCs/>
                <w:szCs w:val="22"/>
              </w:rPr>
              <w:t xml:space="preserve">In topology 1 (i.e., in a case where a base station takes a role of Ambient IoT Reader), </w:t>
            </w:r>
            <w:bookmarkStart w:id="2" w:name="_Hlk166234845"/>
            <w:r>
              <w:rPr>
                <w:bCs/>
                <w:szCs w:val="22"/>
              </w:rPr>
              <w:t>Figure 1 depicts an example of baseline procedure where:</w:t>
            </w:r>
          </w:p>
          <w:p w14:paraId="51145B9E" w14:textId="77777777" w:rsidR="00780551" w:rsidRPr="00EE79AE" w:rsidRDefault="00780551" w:rsidP="00D26F02">
            <w:pPr>
              <w:ind w:left="850" w:hangingChars="405" w:hanging="850"/>
              <w:rPr>
                <w:bCs/>
                <w:szCs w:val="22"/>
              </w:rPr>
            </w:pPr>
            <w:r w:rsidRPr="00EE79AE">
              <w:rPr>
                <w:rFonts w:hint="eastAsia"/>
                <w:bCs/>
                <w:szCs w:val="22"/>
              </w:rPr>
              <w:t>S</w:t>
            </w:r>
            <w:r w:rsidRPr="00EE79AE">
              <w:rPr>
                <w:bCs/>
                <w:szCs w:val="22"/>
              </w:rPr>
              <w:t>TEP 1:</w:t>
            </w:r>
            <w:r>
              <w:rPr>
                <w:bCs/>
                <w:szCs w:val="22"/>
              </w:rPr>
              <w:tab/>
            </w:r>
            <w:r w:rsidRPr="00EE79AE">
              <w:rPr>
                <w:bCs/>
                <w:szCs w:val="22"/>
              </w:rPr>
              <w:t>NG-AP message from CN to BS to indicate Initial Trigger Message. Target Device IDs or Device group IDs can be included.</w:t>
            </w:r>
          </w:p>
          <w:p w14:paraId="150B9724" w14:textId="77777777" w:rsidR="00780551" w:rsidRPr="00EE79AE" w:rsidRDefault="00780551" w:rsidP="00D26F02">
            <w:pPr>
              <w:ind w:left="850" w:hangingChars="405" w:hanging="850"/>
              <w:rPr>
                <w:bCs/>
                <w:szCs w:val="22"/>
              </w:rPr>
            </w:pPr>
            <w:r w:rsidRPr="00EE79AE">
              <w:rPr>
                <w:rFonts w:hint="eastAsia"/>
                <w:bCs/>
                <w:szCs w:val="22"/>
              </w:rPr>
              <w:t>S</w:t>
            </w:r>
            <w:r w:rsidRPr="00EE79AE">
              <w:rPr>
                <w:bCs/>
                <w:szCs w:val="22"/>
              </w:rPr>
              <w:t>TEP 2:</w:t>
            </w:r>
            <w:r>
              <w:rPr>
                <w:bCs/>
                <w:szCs w:val="22"/>
              </w:rPr>
              <w:tab/>
            </w:r>
            <w:r w:rsidRPr="00EE79AE">
              <w:rPr>
                <w:bCs/>
                <w:szCs w:val="22"/>
              </w:rPr>
              <w:t>Initial Trigger Message from Ambient IoT Reader (BS) to Ambient IoT Devices. Target Device IDs or Device group IDs can be included.</w:t>
            </w:r>
          </w:p>
          <w:p w14:paraId="78B1F247" w14:textId="77777777" w:rsidR="00780551" w:rsidRDefault="00780551" w:rsidP="00D26F02">
            <w:pPr>
              <w:ind w:left="850" w:hangingChars="405" w:hanging="850"/>
              <w:rPr>
                <w:bCs/>
                <w:szCs w:val="22"/>
              </w:rPr>
            </w:pPr>
            <w:r w:rsidRPr="00EE79AE">
              <w:rPr>
                <w:rFonts w:hint="eastAsia"/>
                <w:bCs/>
                <w:szCs w:val="22"/>
              </w:rPr>
              <w:lastRenderedPageBreak/>
              <w:t>S</w:t>
            </w:r>
            <w:r w:rsidRPr="00EE79AE">
              <w:rPr>
                <w:bCs/>
                <w:szCs w:val="22"/>
              </w:rPr>
              <w:t>TEP 3:</w:t>
            </w:r>
            <w:r>
              <w:rPr>
                <w:bCs/>
                <w:szCs w:val="22"/>
              </w:rPr>
              <w:tab/>
              <w:t>If the Ambient IoT Device is indicated to respond in the Initial Trigger Message, Device sends the f</w:t>
            </w:r>
            <w:r w:rsidRPr="00EE79AE">
              <w:rPr>
                <w:bCs/>
                <w:szCs w:val="22"/>
              </w:rPr>
              <w:t>irst message from Device to Reader in random access-like procedure. According to an agreement in RAN2#125bis below, a permanent or temporary ID shall be included.</w:t>
            </w:r>
            <w:r>
              <w:rPr>
                <w:bCs/>
                <w:szCs w:val="22"/>
              </w:rPr>
              <w:t xml:space="preserve"> Definition of contention resolution in the slotted-ALOHA framework is up to RAN1 discussion.</w:t>
            </w:r>
          </w:p>
          <w:p w14:paraId="5DA88274" w14:textId="77777777" w:rsidR="00780551" w:rsidRDefault="00780551" w:rsidP="00D26F02">
            <w:pPr>
              <w:ind w:left="850" w:hangingChars="405" w:hanging="850"/>
              <w:rPr>
                <w:bCs/>
                <w:szCs w:val="22"/>
              </w:rPr>
            </w:pPr>
            <w:r>
              <w:rPr>
                <w:rFonts w:hint="eastAsia"/>
                <w:bCs/>
                <w:szCs w:val="22"/>
              </w:rPr>
              <w:t>S</w:t>
            </w:r>
            <w:r>
              <w:rPr>
                <w:bCs/>
                <w:szCs w:val="22"/>
              </w:rPr>
              <w:t>TEP 4:</w:t>
            </w:r>
            <w:r>
              <w:rPr>
                <w:bCs/>
                <w:szCs w:val="22"/>
              </w:rPr>
              <w:tab/>
              <w:t xml:space="preserve">If the Reader does not detect contention of the message in STEP 3, the Reader sends the message to report successful contention resolution. A </w:t>
            </w:r>
            <w:r w:rsidRPr="00EE79AE">
              <w:rPr>
                <w:bCs/>
                <w:szCs w:val="22"/>
              </w:rPr>
              <w:t xml:space="preserve">permanent or temporary ID </w:t>
            </w:r>
            <w:r>
              <w:rPr>
                <w:bCs/>
                <w:szCs w:val="22"/>
              </w:rPr>
              <w:t>can</w:t>
            </w:r>
            <w:r w:rsidRPr="00EE79AE">
              <w:rPr>
                <w:bCs/>
                <w:szCs w:val="22"/>
              </w:rPr>
              <w:t xml:space="preserve"> be included.</w:t>
            </w:r>
          </w:p>
          <w:p w14:paraId="24A1954D" w14:textId="77777777" w:rsidR="00780551" w:rsidRDefault="00780551" w:rsidP="00D26F02">
            <w:pPr>
              <w:ind w:left="850" w:hangingChars="405" w:hanging="850"/>
              <w:rPr>
                <w:bCs/>
                <w:szCs w:val="22"/>
              </w:rPr>
            </w:pPr>
            <w:r>
              <w:rPr>
                <w:rFonts w:hint="eastAsia"/>
                <w:bCs/>
                <w:szCs w:val="22"/>
              </w:rPr>
              <w:t>S</w:t>
            </w:r>
            <w:r>
              <w:rPr>
                <w:bCs/>
                <w:szCs w:val="22"/>
              </w:rPr>
              <w:t>TEP 5:</w:t>
            </w:r>
            <w:r>
              <w:rPr>
                <w:bCs/>
                <w:szCs w:val="22"/>
              </w:rPr>
              <w:tab/>
              <w:t>After successful completion of random access-like procedure, the Device is allocated with dedicated radio resources. With that resource the device sends a NAS(-like) message to the CN to report completion of random access-like procedure in the Reader. A temporary or permanent Device ID can</w:t>
            </w:r>
            <w:r w:rsidRPr="00EE79AE">
              <w:rPr>
                <w:bCs/>
                <w:szCs w:val="22"/>
              </w:rPr>
              <w:t xml:space="preserve"> be included.</w:t>
            </w:r>
          </w:p>
          <w:p w14:paraId="65E979CC" w14:textId="77777777" w:rsidR="00780551" w:rsidRPr="00EE79AE" w:rsidRDefault="00780551" w:rsidP="00D26F02">
            <w:pPr>
              <w:ind w:left="850" w:hangingChars="405" w:hanging="850"/>
              <w:rPr>
                <w:bCs/>
                <w:szCs w:val="22"/>
              </w:rPr>
            </w:pPr>
            <w:r>
              <w:rPr>
                <w:rFonts w:hint="eastAsia"/>
                <w:bCs/>
                <w:szCs w:val="22"/>
              </w:rPr>
              <w:t>S</w:t>
            </w:r>
            <w:r>
              <w:rPr>
                <w:bCs/>
                <w:szCs w:val="22"/>
              </w:rPr>
              <w:t>TEP 6: The BS transparently forwards the NAS(-like) message to the CN.</w:t>
            </w:r>
          </w:p>
          <w:p w14:paraId="48F2643F" w14:textId="77777777" w:rsidR="00780551" w:rsidRPr="00EE79AE" w:rsidRDefault="00780551" w:rsidP="00D26F02">
            <w:pPr>
              <w:ind w:left="850" w:hangingChars="405" w:hanging="850"/>
              <w:rPr>
                <w:bCs/>
                <w:szCs w:val="22"/>
              </w:rPr>
            </w:pPr>
          </w:p>
          <w:p w14:paraId="15FC9643" w14:textId="77777777" w:rsidR="00780551" w:rsidRDefault="00780551" w:rsidP="00D26F02">
            <w:pPr>
              <w:jc w:val="center"/>
              <w:rPr>
                <w:bCs/>
                <w:szCs w:val="22"/>
              </w:rPr>
            </w:pPr>
            <w:r>
              <w:rPr>
                <w:bCs/>
                <w:noProof/>
                <w:szCs w:val="22"/>
              </w:rPr>
              <w:drawing>
                <wp:inline distT="0" distB="0" distL="0" distR="0" wp14:anchorId="556D1912" wp14:editId="5567A460">
                  <wp:extent cx="5572125" cy="398716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2125" cy="3987165"/>
                          </a:xfrm>
                          <a:prstGeom prst="rect">
                            <a:avLst/>
                          </a:prstGeom>
                          <a:noFill/>
                          <a:ln>
                            <a:noFill/>
                          </a:ln>
                        </pic:spPr>
                      </pic:pic>
                    </a:graphicData>
                  </a:graphic>
                </wp:inline>
              </w:drawing>
            </w:r>
          </w:p>
          <w:p w14:paraId="161D45DC" w14:textId="77777777" w:rsidR="00780551" w:rsidRPr="00982FE2" w:rsidRDefault="00780551" w:rsidP="00D26F02">
            <w:pPr>
              <w:jc w:val="center"/>
              <w:rPr>
                <w:b/>
                <w:szCs w:val="22"/>
              </w:rPr>
            </w:pPr>
            <w:r w:rsidRPr="00982FE2">
              <w:rPr>
                <w:rFonts w:hint="eastAsia"/>
                <w:b/>
                <w:szCs w:val="22"/>
              </w:rPr>
              <w:t>F</w:t>
            </w:r>
            <w:r w:rsidRPr="00982FE2">
              <w:rPr>
                <w:b/>
                <w:szCs w:val="22"/>
              </w:rPr>
              <w:t xml:space="preserve">igure 1: Example of baseline </w:t>
            </w:r>
            <w:r>
              <w:rPr>
                <w:b/>
                <w:szCs w:val="22"/>
              </w:rPr>
              <w:t>Inventory procedure</w:t>
            </w:r>
            <w:r w:rsidRPr="00982FE2">
              <w:rPr>
                <w:b/>
                <w:szCs w:val="22"/>
              </w:rPr>
              <w:t xml:space="preserve"> for Topology 1</w:t>
            </w:r>
          </w:p>
          <w:tbl>
            <w:tblPr>
              <w:tblStyle w:val="aa"/>
              <w:tblW w:w="0" w:type="auto"/>
              <w:tblLook w:val="04A0" w:firstRow="1" w:lastRow="0" w:firstColumn="1" w:lastColumn="0" w:noHBand="0" w:noVBand="1"/>
            </w:tblPr>
            <w:tblGrid>
              <w:gridCol w:w="9403"/>
            </w:tblGrid>
            <w:tr w:rsidR="00780551" w14:paraId="6EAFA9ED" w14:textId="77777777" w:rsidTr="00D26F02">
              <w:tc>
                <w:tcPr>
                  <w:tcW w:w="9629" w:type="dxa"/>
                </w:tcPr>
                <w:p w14:paraId="7C0DC144" w14:textId="77777777" w:rsidR="00780551" w:rsidRDefault="00780551" w:rsidP="00D26F02">
                  <w:pPr>
                    <w:rPr>
                      <w:bCs/>
                      <w:szCs w:val="22"/>
                    </w:rPr>
                  </w:pPr>
                  <w:r w:rsidRPr="00EE79AE">
                    <w:rPr>
                      <w:rFonts w:hint="eastAsia"/>
                      <w:b/>
                      <w:szCs w:val="22"/>
                      <w:u w:val="single"/>
                    </w:rPr>
                    <w:t>A</w:t>
                  </w:r>
                  <w:r w:rsidRPr="00EE79AE">
                    <w:rPr>
                      <w:b/>
                      <w:szCs w:val="22"/>
                      <w:u w:val="single"/>
                    </w:rPr>
                    <w:t>greement in RAN2#125bis</w:t>
                  </w:r>
                  <w:r>
                    <w:rPr>
                      <w:bCs/>
                      <w:szCs w:val="22"/>
                    </w:rPr>
                    <w:t xml:space="preserve"> [1]</w:t>
                  </w:r>
                </w:p>
                <w:p w14:paraId="36BC3E52" w14:textId="77777777" w:rsidR="00780551" w:rsidRDefault="00780551" w:rsidP="00D26F02">
                  <w:pPr>
                    <w:rPr>
                      <w:bCs/>
                      <w:szCs w:val="22"/>
                    </w:rPr>
                  </w:pPr>
                  <w:r>
                    <w:rPr>
                      <w:rFonts w:ascii="Calibri" w:eastAsia="游ゴシック" w:hAnsi="Calibri" w:cs="Calibri"/>
                      <w:sz w:val="22"/>
                      <w:szCs w:val="22"/>
                    </w:rPr>
                    <w:t xml:space="preserve">For the very first access message from the device to reader in random access an ID is included.  RAN2 to discuss whether a temporary identifier is included, or the permanent device ID is included (considering other WGs input as well).   </w:t>
                  </w:r>
                </w:p>
              </w:tc>
            </w:tr>
            <w:bookmarkEnd w:id="2"/>
          </w:tbl>
          <w:p w14:paraId="6416D6A4" w14:textId="77777777" w:rsidR="00780551" w:rsidRDefault="00780551" w:rsidP="00D26F02">
            <w:pPr>
              <w:rPr>
                <w:bCs/>
                <w:szCs w:val="22"/>
              </w:rPr>
            </w:pPr>
          </w:p>
          <w:p w14:paraId="5B3540FF" w14:textId="77777777" w:rsidR="00780551" w:rsidRDefault="00780551" w:rsidP="00D26F02">
            <w:pPr>
              <w:rPr>
                <w:bCs/>
                <w:szCs w:val="22"/>
              </w:rPr>
            </w:pPr>
            <w:bookmarkStart w:id="3" w:name="_Hlk166236433"/>
            <w:r>
              <w:rPr>
                <w:rFonts w:hint="eastAsia"/>
                <w:bCs/>
                <w:szCs w:val="22"/>
              </w:rPr>
              <w:t>O</w:t>
            </w:r>
            <w:r>
              <w:rPr>
                <w:bCs/>
                <w:szCs w:val="22"/>
              </w:rPr>
              <w:t>n the other hand, in topology 2, the procedure can be depicted in Figure 2. Note that the content and behavior of Initial Trigger Message are agnostic of whether the Ambient IoT Reader is a base station or an intermediate node, i.e., the same as Topology 1.</w:t>
            </w:r>
          </w:p>
          <w:p w14:paraId="250B544D" w14:textId="77777777" w:rsidR="00780551" w:rsidRDefault="00780551" w:rsidP="00D26F02">
            <w:pPr>
              <w:ind w:left="850" w:hangingChars="405" w:hanging="850"/>
              <w:rPr>
                <w:bCs/>
                <w:szCs w:val="22"/>
              </w:rPr>
            </w:pPr>
            <w:bookmarkStart w:id="4" w:name="_Hlk166223548"/>
            <w:r w:rsidRPr="00EE79AE">
              <w:rPr>
                <w:rFonts w:hint="eastAsia"/>
                <w:bCs/>
                <w:szCs w:val="22"/>
              </w:rPr>
              <w:lastRenderedPageBreak/>
              <w:t>S</w:t>
            </w:r>
            <w:r w:rsidRPr="00EE79AE">
              <w:rPr>
                <w:bCs/>
                <w:szCs w:val="22"/>
              </w:rPr>
              <w:t>TEP 1:</w:t>
            </w:r>
            <w:r>
              <w:rPr>
                <w:bCs/>
                <w:szCs w:val="22"/>
              </w:rPr>
              <w:tab/>
            </w:r>
            <w:r w:rsidRPr="00EE79AE">
              <w:rPr>
                <w:bCs/>
                <w:szCs w:val="22"/>
              </w:rPr>
              <w:t>NG-AP message from CN to BS to indicate Initial Trigger Message. Target Device IDs or Device group IDs can be included.</w:t>
            </w:r>
          </w:p>
          <w:p w14:paraId="3EADC366" w14:textId="77777777" w:rsidR="00780551" w:rsidRPr="00EE79AE" w:rsidRDefault="00780551" w:rsidP="00D26F02">
            <w:pPr>
              <w:ind w:left="850" w:hangingChars="405" w:hanging="850"/>
              <w:rPr>
                <w:bCs/>
                <w:szCs w:val="22"/>
              </w:rPr>
            </w:pPr>
            <w:r>
              <w:rPr>
                <w:rFonts w:hint="eastAsia"/>
                <w:bCs/>
                <w:szCs w:val="22"/>
              </w:rPr>
              <w:t>S</w:t>
            </w:r>
            <w:r>
              <w:rPr>
                <w:bCs/>
                <w:szCs w:val="22"/>
              </w:rPr>
              <w:t>TEP 2: Indication of Initial Trigger Message from BS to Intermediate node.</w:t>
            </w:r>
            <w:r w:rsidRPr="00EE79AE">
              <w:rPr>
                <w:bCs/>
                <w:szCs w:val="22"/>
              </w:rPr>
              <w:t xml:space="preserve"> Target Device IDs or Device group IDs can be included.</w:t>
            </w:r>
          </w:p>
          <w:p w14:paraId="2B2DE717" w14:textId="77777777" w:rsidR="00780551" w:rsidRPr="00EE79AE" w:rsidRDefault="00780551" w:rsidP="00D26F02">
            <w:pPr>
              <w:ind w:left="850" w:hangingChars="405" w:hanging="850"/>
              <w:rPr>
                <w:bCs/>
                <w:szCs w:val="22"/>
              </w:rPr>
            </w:pPr>
            <w:r w:rsidRPr="00EE79AE">
              <w:rPr>
                <w:rFonts w:hint="eastAsia"/>
                <w:bCs/>
                <w:szCs w:val="22"/>
              </w:rPr>
              <w:t>S</w:t>
            </w:r>
            <w:r w:rsidRPr="00EE79AE">
              <w:rPr>
                <w:bCs/>
                <w:szCs w:val="22"/>
              </w:rPr>
              <w:t xml:space="preserve">TEP </w:t>
            </w:r>
            <w:r>
              <w:rPr>
                <w:bCs/>
                <w:szCs w:val="22"/>
              </w:rPr>
              <w:t>3</w:t>
            </w:r>
            <w:r w:rsidRPr="00EE79AE">
              <w:rPr>
                <w:bCs/>
                <w:szCs w:val="22"/>
              </w:rPr>
              <w:t>:</w:t>
            </w:r>
            <w:r>
              <w:rPr>
                <w:bCs/>
                <w:szCs w:val="22"/>
              </w:rPr>
              <w:tab/>
            </w:r>
            <w:r w:rsidRPr="00EE79AE">
              <w:rPr>
                <w:bCs/>
                <w:szCs w:val="22"/>
              </w:rPr>
              <w:t>Initial Trigger Message from Ambient IoT Reader (</w:t>
            </w:r>
            <w:r>
              <w:rPr>
                <w:bCs/>
                <w:szCs w:val="22"/>
              </w:rPr>
              <w:t>Intermediate node</w:t>
            </w:r>
            <w:r w:rsidRPr="00EE79AE">
              <w:rPr>
                <w:bCs/>
                <w:szCs w:val="22"/>
              </w:rPr>
              <w:t>) to Ambient IoT Devices. Target Device IDs or Device group IDs can be included.</w:t>
            </w:r>
          </w:p>
          <w:p w14:paraId="1B071854" w14:textId="77777777" w:rsidR="00780551" w:rsidRDefault="00780551" w:rsidP="00D26F02">
            <w:pPr>
              <w:ind w:left="850" w:hangingChars="405" w:hanging="850"/>
              <w:rPr>
                <w:bCs/>
                <w:szCs w:val="22"/>
              </w:rPr>
            </w:pPr>
            <w:r w:rsidRPr="00EE79AE">
              <w:rPr>
                <w:rFonts w:hint="eastAsia"/>
                <w:bCs/>
                <w:szCs w:val="22"/>
              </w:rPr>
              <w:t>S</w:t>
            </w:r>
            <w:r w:rsidRPr="00EE79AE">
              <w:rPr>
                <w:bCs/>
                <w:szCs w:val="22"/>
              </w:rPr>
              <w:t xml:space="preserve">TEP </w:t>
            </w:r>
            <w:r>
              <w:rPr>
                <w:bCs/>
                <w:szCs w:val="22"/>
              </w:rPr>
              <w:t>4</w:t>
            </w:r>
            <w:r w:rsidRPr="00EE79AE">
              <w:rPr>
                <w:bCs/>
                <w:szCs w:val="22"/>
              </w:rPr>
              <w:t>:</w:t>
            </w:r>
            <w:r>
              <w:rPr>
                <w:bCs/>
                <w:szCs w:val="22"/>
              </w:rPr>
              <w:tab/>
              <w:t>If the Ambient IoT Device is indicated to respond in the Initial Trigger Message, Device sends the f</w:t>
            </w:r>
            <w:r w:rsidRPr="00EE79AE">
              <w:rPr>
                <w:bCs/>
                <w:szCs w:val="22"/>
              </w:rPr>
              <w:t>irst message from Device to Reader in random access-like procedure. A permanent or temporary ID shall be included.</w:t>
            </w:r>
            <w:r>
              <w:rPr>
                <w:bCs/>
                <w:szCs w:val="22"/>
              </w:rPr>
              <w:t xml:space="preserve"> Definition of contention resolution in the slotted-ALOHA framework is up to RAN1 discussion.</w:t>
            </w:r>
          </w:p>
          <w:p w14:paraId="7A3D001D" w14:textId="77777777" w:rsidR="00780551" w:rsidRDefault="00780551" w:rsidP="00D26F02">
            <w:pPr>
              <w:ind w:left="850" w:hangingChars="405" w:hanging="850"/>
              <w:rPr>
                <w:bCs/>
                <w:szCs w:val="22"/>
              </w:rPr>
            </w:pPr>
            <w:r>
              <w:rPr>
                <w:rFonts w:hint="eastAsia"/>
                <w:bCs/>
                <w:szCs w:val="22"/>
              </w:rPr>
              <w:t>S</w:t>
            </w:r>
            <w:r>
              <w:rPr>
                <w:bCs/>
                <w:szCs w:val="22"/>
              </w:rPr>
              <w:t>TEP 5:</w:t>
            </w:r>
            <w:r>
              <w:rPr>
                <w:bCs/>
                <w:szCs w:val="22"/>
              </w:rPr>
              <w:tab/>
              <w:t xml:space="preserve">If the Reader does not detect contention of the message in STEP 4, the Reader sends the message to report successful contention resolution. A </w:t>
            </w:r>
            <w:r w:rsidRPr="00EE79AE">
              <w:rPr>
                <w:bCs/>
                <w:szCs w:val="22"/>
              </w:rPr>
              <w:t xml:space="preserve">permanent or temporary ID </w:t>
            </w:r>
            <w:r>
              <w:rPr>
                <w:bCs/>
                <w:szCs w:val="22"/>
              </w:rPr>
              <w:t>can</w:t>
            </w:r>
            <w:r w:rsidRPr="00EE79AE">
              <w:rPr>
                <w:bCs/>
                <w:szCs w:val="22"/>
              </w:rPr>
              <w:t xml:space="preserve"> be included.</w:t>
            </w:r>
          </w:p>
          <w:p w14:paraId="113A622E" w14:textId="77777777" w:rsidR="00780551" w:rsidRDefault="00780551" w:rsidP="00D26F02">
            <w:pPr>
              <w:ind w:left="850" w:hangingChars="405" w:hanging="850"/>
              <w:rPr>
                <w:bCs/>
                <w:szCs w:val="22"/>
              </w:rPr>
            </w:pPr>
            <w:r>
              <w:rPr>
                <w:rFonts w:hint="eastAsia"/>
                <w:bCs/>
                <w:szCs w:val="22"/>
              </w:rPr>
              <w:t>S</w:t>
            </w:r>
            <w:r>
              <w:rPr>
                <w:bCs/>
                <w:szCs w:val="22"/>
              </w:rPr>
              <w:t>TEP 6:</w:t>
            </w:r>
            <w:r>
              <w:rPr>
                <w:bCs/>
                <w:szCs w:val="22"/>
              </w:rPr>
              <w:tab/>
              <w:t>After successful completion of random access-like procedure, the Device is allocated with dedicated radio resources. With that resource the device sends a NAS(-like) message to the CN to report completion of random access-like procedure in the Reader. A temporary or permanent Device ID can</w:t>
            </w:r>
            <w:r w:rsidRPr="00EE79AE">
              <w:rPr>
                <w:bCs/>
                <w:szCs w:val="22"/>
              </w:rPr>
              <w:t xml:space="preserve"> be included.</w:t>
            </w:r>
          </w:p>
          <w:p w14:paraId="07D54C1E" w14:textId="77777777" w:rsidR="00780551" w:rsidRDefault="00780551" w:rsidP="00D26F02">
            <w:pPr>
              <w:ind w:left="850" w:hangingChars="405" w:hanging="850"/>
              <w:rPr>
                <w:bCs/>
                <w:szCs w:val="22"/>
              </w:rPr>
            </w:pPr>
            <w:r>
              <w:rPr>
                <w:rFonts w:hint="eastAsia"/>
                <w:bCs/>
                <w:szCs w:val="22"/>
              </w:rPr>
              <w:t>S</w:t>
            </w:r>
            <w:r>
              <w:rPr>
                <w:bCs/>
                <w:szCs w:val="22"/>
              </w:rPr>
              <w:t>TEP 7: The intermediate node transparently forwards the UL NAS message to the BS.</w:t>
            </w:r>
          </w:p>
          <w:p w14:paraId="1CD5C05D" w14:textId="77777777" w:rsidR="00780551" w:rsidRDefault="00780551" w:rsidP="00D26F02">
            <w:pPr>
              <w:ind w:left="850" w:hangingChars="405" w:hanging="850"/>
              <w:rPr>
                <w:bCs/>
                <w:szCs w:val="22"/>
              </w:rPr>
            </w:pPr>
            <w:r>
              <w:rPr>
                <w:rFonts w:hint="eastAsia"/>
                <w:bCs/>
                <w:szCs w:val="22"/>
              </w:rPr>
              <w:t>S</w:t>
            </w:r>
            <w:r>
              <w:rPr>
                <w:bCs/>
                <w:szCs w:val="22"/>
              </w:rPr>
              <w:t>TEP 8: The BS transparently forwards the NAS(-like) message to the CN.</w:t>
            </w:r>
          </w:p>
          <w:p w14:paraId="4F4182BB" w14:textId="77777777" w:rsidR="00780551" w:rsidRDefault="00780551" w:rsidP="00D26F02">
            <w:pPr>
              <w:rPr>
                <w:bCs/>
                <w:szCs w:val="22"/>
              </w:rPr>
            </w:pPr>
            <w:bookmarkStart w:id="5" w:name="_Hlk166223620"/>
            <w:bookmarkEnd w:id="4"/>
            <w:r>
              <w:rPr>
                <w:bCs/>
                <w:noProof/>
                <w:szCs w:val="22"/>
              </w:rPr>
              <w:drawing>
                <wp:inline distT="0" distB="0" distL="0" distR="0" wp14:anchorId="0419D2BE" wp14:editId="6DB66AA8">
                  <wp:extent cx="5974715" cy="4608830"/>
                  <wp:effectExtent l="0" t="0" r="6985"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4715" cy="4608830"/>
                          </a:xfrm>
                          <a:prstGeom prst="rect">
                            <a:avLst/>
                          </a:prstGeom>
                          <a:noFill/>
                          <a:ln>
                            <a:noFill/>
                          </a:ln>
                        </pic:spPr>
                      </pic:pic>
                    </a:graphicData>
                  </a:graphic>
                </wp:inline>
              </w:drawing>
            </w:r>
          </w:p>
          <w:p w14:paraId="1F411CB2" w14:textId="77777777" w:rsidR="00780551" w:rsidRPr="004419B8" w:rsidRDefault="00780551" w:rsidP="00D26F02">
            <w:pPr>
              <w:jc w:val="center"/>
              <w:rPr>
                <w:b/>
                <w:szCs w:val="22"/>
              </w:rPr>
            </w:pPr>
            <w:r w:rsidRPr="00982FE2">
              <w:rPr>
                <w:rFonts w:hint="eastAsia"/>
                <w:b/>
                <w:szCs w:val="22"/>
              </w:rPr>
              <w:t>F</w:t>
            </w:r>
            <w:r w:rsidRPr="00982FE2">
              <w:rPr>
                <w:b/>
                <w:szCs w:val="22"/>
              </w:rPr>
              <w:t xml:space="preserve">igure </w:t>
            </w:r>
            <w:r>
              <w:rPr>
                <w:b/>
                <w:szCs w:val="22"/>
              </w:rPr>
              <w:t>2</w:t>
            </w:r>
            <w:r w:rsidRPr="00982FE2">
              <w:rPr>
                <w:b/>
                <w:szCs w:val="22"/>
              </w:rPr>
              <w:t xml:space="preserve">: Example of baseline </w:t>
            </w:r>
            <w:r>
              <w:rPr>
                <w:b/>
                <w:szCs w:val="22"/>
              </w:rPr>
              <w:t>Inventory procedure</w:t>
            </w:r>
            <w:r w:rsidRPr="00982FE2">
              <w:rPr>
                <w:b/>
                <w:szCs w:val="22"/>
              </w:rPr>
              <w:t xml:space="preserve"> for Topology </w:t>
            </w:r>
            <w:r>
              <w:rPr>
                <w:b/>
                <w:szCs w:val="22"/>
              </w:rPr>
              <w:t>2</w:t>
            </w:r>
            <w:bookmarkEnd w:id="3"/>
            <w:bookmarkEnd w:id="5"/>
          </w:p>
        </w:tc>
      </w:tr>
    </w:tbl>
    <w:p w14:paraId="43DF7FE1" w14:textId="648A481A" w:rsidR="00A76BF5" w:rsidRDefault="00A76BF5" w:rsidP="007E2FC8">
      <w:pPr>
        <w:rPr>
          <w:bCs/>
          <w:szCs w:val="22"/>
        </w:rPr>
      </w:pPr>
      <w:r>
        <w:rPr>
          <w:rFonts w:hint="eastAsia"/>
          <w:bCs/>
          <w:szCs w:val="22"/>
        </w:rPr>
        <w:lastRenderedPageBreak/>
        <w:t>N</w:t>
      </w:r>
      <w:r>
        <w:rPr>
          <w:bCs/>
          <w:szCs w:val="22"/>
        </w:rPr>
        <w:t>ow we would like to discuss the Initial Trigger Message, STEP 2 in topology 1 and STEP 3 in topology 2.</w:t>
      </w:r>
      <w:r w:rsidR="00EF0EE8">
        <w:rPr>
          <w:bCs/>
          <w:szCs w:val="22"/>
        </w:rPr>
        <w:t xml:space="preserve"> </w:t>
      </w:r>
      <w:r w:rsidR="00DE6140">
        <w:rPr>
          <w:bCs/>
          <w:szCs w:val="22"/>
        </w:rPr>
        <w:t>Although we have not agreed, t</w:t>
      </w:r>
      <w:r w:rsidR="00EF0EE8">
        <w:rPr>
          <w:bCs/>
          <w:szCs w:val="22"/>
        </w:rPr>
        <w:t xml:space="preserve">his message </w:t>
      </w:r>
      <w:r w:rsidR="00DE6140">
        <w:rPr>
          <w:bCs/>
          <w:szCs w:val="22"/>
        </w:rPr>
        <w:t>should include information of Ambient IoT Devices or groups of Ambient IoT Devices in order to indicate to start a random access-like procedure by sending a D2R message because the Initial Trigger Message is not a dedicated message but a broadcast message.</w:t>
      </w:r>
    </w:p>
    <w:p w14:paraId="42EBECDE" w14:textId="6F4570D4" w:rsidR="00A9226F" w:rsidRDefault="00A9226F" w:rsidP="00A9226F">
      <w:pPr>
        <w:pStyle w:val="ObservationandProposal"/>
      </w:pPr>
      <w:r>
        <w:rPr>
          <w:rFonts w:hint="eastAsia"/>
        </w:rPr>
        <w:t>O</w:t>
      </w:r>
      <w:r>
        <w:t xml:space="preserve">bservation </w:t>
      </w:r>
      <w:r w:rsidR="00A86D76">
        <w:t>1</w:t>
      </w:r>
      <w:r>
        <w:t>.</w:t>
      </w:r>
      <w:r>
        <w:tab/>
        <w:t>Permanent or temporary Device IDs are indicated in the Initial Trigger Message.</w:t>
      </w:r>
    </w:p>
    <w:p w14:paraId="3D7BFA33" w14:textId="5B12D7AD" w:rsidR="00936FCA" w:rsidRDefault="00936FCA" w:rsidP="007E2FC8">
      <w:pPr>
        <w:rPr>
          <w:bCs/>
          <w:szCs w:val="22"/>
        </w:rPr>
      </w:pPr>
      <w:r>
        <w:rPr>
          <w:rFonts w:hint="eastAsia"/>
          <w:bCs/>
          <w:szCs w:val="22"/>
        </w:rPr>
        <w:t>B</w:t>
      </w:r>
      <w:r>
        <w:rPr>
          <w:bCs/>
          <w:szCs w:val="22"/>
        </w:rPr>
        <w:t>y the way, in the last meeting, we made a</w:t>
      </w:r>
      <w:r w:rsidR="00F34514">
        <w:rPr>
          <w:bCs/>
          <w:szCs w:val="22"/>
        </w:rPr>
        <w:t>n agreement</w:t>
      </w:r>
      <w:r w:rsidR="00F34514">
        <w:rPr>
          <w:rFonts w:hint="eastAsia"/>
          <w:bCs/>
          <w:szCs w:val="22"/>
        </w:rPr>
        <w:t xml:space="preserve"> </w:t>
      </w:r>
      <w:r w:rsidR="00F34514">
        <w:rPr>
          <w:bCs/>
          <w:szCs w:val="22"/>
        </w:rPr>
        <w:t>not to support AS security in Ambient IoT RAN unless SA3 provides any concern.</w:t>
      </w:r>
    </w:p>
    <w:tbl>
      <w:tblPr>
        <w:tblStyle w:val="aa"/>
        <w:tblW w:w="0" w:type="auto"/>
        <w:tblLook w:val="04A0" w:firstRow="1" w:lastRow="0" w:firstColumn="1" w:lastColumn="0" w:noHBand="0" w:noVBand="1"/>
      </w:tblPr>
      <w:tblGrid>
        <w:gridCol w:w="9629"/>
      </w:tblGrid>
      <w:tr w:rsidR="00F34514" w14:paraId="7DDA7888" w14:textId="77777777" w:rsidTr="00F34514">
        <w:tc>
          <w:tcPr>
            <w:tcW w:w="9629" w:type="dxa"/>
          </w:tcPr>
          <w:p w14:paraId="0ACE09D3" w14:textId="6FBBD7AB" w:rsidR="00F34514" w:rsidRDefault="00F34514" w:rsidP="00F34514">
            <w:pPr>
              <w:rPr>
                <w:bCs/>
                <w:szCs w:val="22"/>
              </w:rPr>
            </w:pPr>
            <w:r w:rsidRPr="00EE79AE">
              <w:rPr>
                <w:rFonts w:hint="eastAsia"/>
                <w:b/>
                <w:szCs w:val="22"/>
                <w:u w:val="single"/>
              </w:rPr>
              <w:t>A</w:t>
            </w:r>
            <w:r w:rsidRPr="00EE79AE">
              <w:rPr>
                <w:b/>
                <w:szCs w:val="22"/>
                <w:u w:val="single"/>
              </w:rPr>
              <w:t>greement in RAN2#125bis</w:t>
            </w:r>
            <w:r>
              <w:rPr>
                <w:bCs/>
                <w:szCs w:val="22"/>
              </w:rPr>
              <w:t xml:space="preserve"> </w:t>
            </w:r>
            <w:r w:rsidR="00DF134B">
              <w:rPr>
                <w:bCs/>
                <w:szCs w:val="22"/>
              </w:rPr>
              <w:t>[1]</w:t>
            </w:r>
          </w:p>
          <w:p w14:paraId="3081C7CB" w14:textId="3161FBC2" w:rsidR="00F34514" w:rsidRDefault="00F34514" w:rsidP="007E2FC8">
            <w:pPr>
              <w:rPr>
                <w:bCs/>
                <w:szCs w:val="22"/>
              </w:rPr>
            </w:pPr>
            <w:r>
              <w:t>RAN2 will continue the study of ambient IoT assuming no support of AS security until SA3 provides further input.</w:t>
            </w:r>
          </w:p>
        </w:tc>
      </w:tr>
    </w:tbl>
    <w:p w14:paraId="45AB7F5D" w14:textId="36CC8072" w:rsidR="00F34514" w:rsidRDefault="00F34514" w:rsidP="007E2FC8">
      <w:pPr>
        <w:rPr>
          <w:bCs/>
          <w:szCs w:val="22"/>
        </w:rPr>
      </w:pPr>
      <w:r>
        <w:rPr>
          <w:rFonts w:hint="eastAsia"/>
          <w:bCs/>
          <w:szCs w:val="22"/>
        </w:rPr>
        <w:t>T</w:t>
      </w:r>
      <w:r>
        <w:rPr>
          <w:bCs/>
          <w:szCs w:val="22"/>
        </w:rPr>
        <w:t>his means that all messages between Ambient IoT Devices and Ambient IoT Readers are not security protected unless they are NAS message terminated on a CN node. Moreover, the security protection is valid only for dedicated messages while a broadcast message like the Initial Trigger Message cannot be protected because it is impossible to secretly share a security key among the Reader and all targeted Devices before the message is broadcast.</w:t>
      </w:r>
    </w:p>
    <w:p w14:paraId="3D9A9AD8" w14:textId="77777777" w:rsidR="008B7141" w:rsidRDefault="008B7141" w:rsidP="008B7141">
      <w:pPr>
        <w:pStyle w:val="ObservationandProposal"/>
      </w:pPr>
      <w:r>
        <w:rPr>
          <w:rFonts w:hint="eastAsia"/>
        </w:rPr>
        <w:t>O</w:t>
      </w:r>
      <w:r>
        <w:t>bservation 2.</w:t>
      </w:r>
      <w:r>
        <w:tab/>
        <w:t>The Initial Trigger Message is not security protected.</w:t>
      </w:r>
    </w:p>
    <w:p w14:paraId="01341C26" w14:textId="0259C18D" w:rsidR="00982FE2" w:rsidRDefault="00A9226F" w:rsidP="007E2FC8">
      <w:pPr>
        <w:rPr>
          <w:bCs/>
          <w:szCs w:val="22"/>
        </w:rPr>
      </w:pPr>
      <w:r>
        <w:rPr>
          <w:rFonts w:hint="eastAsia"/>
          <w:bCs/>
          <w:szCs w:val="22"/>
        </w:rPr>
        <w:t>T</w:t>
      </w:r>
      <w:r>
        <w:rPr>
          <w:bCs/>
          <w:szCs w:val="22"/>
        </w:rPr>
        <w:t>herefore, we have a strong concern to include permanent Device IDs in the Initial Trigger Message. Using unprotected permanent Device IDs in air interface allows malicious users to intercept permanent Device IDs and enables to physically track certain Ambient IoT Devices (and potentially gives clues to other cheatings).</w:t>
      </w:r>
    </w:p>
    <w:p w14:paraId="6C21F304" w14:textId="22FA11B1" w:rsidR="00A9226F" w:rsidRDefault="002C1350" w:rsidP="007E2FC8">
      <w:pPr>
        <w:rPr>
          <w:bCs/>
          <w:szCs w:val="22"/>
        </w:rPr>
      </w:pPr>
      <w:r>
        <w:rPr>
          <w:bCs/>
          <w:szCs w:val="22"/>
        </w:rPr>
        <w:t>From above point of view, we propose to support an indication of temporary Device IDs in the Initial Trigger Message. Since the Ambient IoT system does not support concept of serving cells, it seems impossible to introduce a temporary ID controlled by Ambient IoT Reader (like RNTI), thus the temporary Device ID should be generated and controlled by a CN node (like TMSI).</w:t>
      </w:r>
    </w:p>
    <w:p w14:paraId="1C99DE63" w14:textId="61D2A595" w:rsidR="002C1350" w:rsidRDefault="002C1350" w:rsidP="00A9226F">
      <w:pPr>
        <w:pStyle w:val="ObservationandProposal"/>
      </w:pPr>
      <w:r>
        <w:rPr>
          <w:rFonts w:hint="eastAsia"/>
        </w:rPr>
        <w:t>O</w:t>
      </w:r>
      <w:r>
        <w:t xml:space="preserve">bservation </w:t>
      </w:r>
      <w:r w:rsidR="00A86D76">
        <w:t>3</w:t>
      </w:r>
      <w:r>
        <w:t>.</w:t>
      </w:r>
      <w:r>
        <w:tab/>
      </w:r>
      <w:r>
        <w:rPr>
          <w:bCs w:val="0"/>
        </w:rPr>
        <w:t>Temporary ID controlled by a CN node (like TMSI) is more suitable than that controlled by Ambient IoT Reader (like RNTI).</w:t>
      </w:r>
    </w:p>
    <w:p w14:paraId="0C457172" w14:textId="36FE5239" w:rsidR="002C1350" w:rsidRDefault="002C1350" w:rsidP="002C1350">
      <w:pPr>
        <w:pStyle w:val="ObservationandProposal"/>
      </w:pPr>
      <w:r>
        <w:rPr>
          <w:rFonts w:hint="eastAsia"/>
        </w:rPr>
        <w:t>P</w:t>
      </w:r>
      <w:r>
        <w:t xml:space="preserve">roposal </w:t>
      </w:r>
      <w:r w:rsidR="00A86D76">
        <w:t>1</w:t>
      </w:r>
      <w:r>
        <w:t>.</w:t>
      </w:r>
      <w:r>
        <w:tab/>
        <w:t>Ambient IoT Reader indicates temporary Device IDs or groups of temporary Device IDs in the Initial Trigger Message.</w:t>
      </w:r>
    </w:p>
    <w:p w14:paraId="499E2EFD" w14:textId="77777777" w:rsidR="00A9226F" w:rsidRPr="0083168F" w:rsidRDefault="00A9226F" w:rsidP="007E2FC8">
      <w:pPr>
        <w:rPr>
          <w:bCs/>
          <w:szCs w:val="22"/>
        </w:rPr>
      </w:pPr>
    </w:p>
    <w:p w14:paraId="622B372B" w14:textId="67E7A322" w:rsidR="007E2FC8" w:rsidRDefault="00485A0F" w:rsidP="007E2FC8">
      <w:pPr>
        <w:pStyle w:val="2"/>
        <w:numPr>
          <w:ilvl w:val="1"/>
          <w:numId w:val="2"/>
        </w:numPr>
        <w:rPr>
          <w:rFonts w:cs="Arial"/>
        </w:rPr>
      </w:pPr>
      <w:r>
        <w:rPr>
          <w:rFonts w:cs="Arial"/>
        </w:rPr>
        <w:t>Issue on multiple readers scenario</w:t>
      </w:r>
    </w:p>
    <w:p w14:paraId="4CC82AB3" w14:textId="24B184DD" w:rsidR="00485A0F" w:rsidRDefault="0015598E" w:rsidP="00485A0F">
      <w:r>
        <w:t>Given the scenario where multiple Ambient IoT Readers are physically located close to one another, e.g., indoor deployment scenario, it is possible that one Ambient IoT Device is in a coverage area to receive Initial Trigger Messages from multiple Ambient IoT Readers.</w:t>
      </w:r>
    </w:p>
    <w:p w14:paraId="03AECD45" w14:textId="25D30D0F" w:rsidR="0015598E" w:rsidRDefault="0015598E" w:rsidP="00485A0F">
      <w:r>
        <w:rPr>
          <w:rFonts w:hint="eastAsia"/>
        </w:rPr>
        <w:t>I</w:t>
      </w:r>
      <w:r>
        <w:t xml:space="preserve">n the case above, if the CN indicates multiple Readers to send an Initial Trigger Message, (this kind of indication is possible for instance to search for certain </w:t>
      </w:r>
      <w:proofErr w:type="gramStart"/>
      <w:r>
        <w:t>Devices</w:t>
      </w:r>
      <w:proofErr w:type="gramEnd"/>
      <w:r>
        <w:t xml:space="preserve"> but the CN is not aware where the Devices are,) the Device will receive multiple Initial Trigger Messages from multiple Readers.</w:t>
      </w:r>
      <w:r>
        <w:rPr>
          <w:rFonts w:hint="eastAsia"/>
        </w:rPr>
        <w:t xml:space="preserve"> </w:t>
      </w:r>
      <w:r>
        <w:t>Then</w:t>
      </w:r>
      <w:r w:rsidR="00574F29">
        <w:t>, as depicted in Figure 3,</w:t>
      </w:r>
      <w:r>
        <w:t xml:space="preserve"> the Device will </w:t>
      </w:r>
      <w:r w:rsidR="00574F29">
        <w:t xml:space="preserve">send a first message for random access (could be called preamble message) </w:t>
      </w:r>
      <w:r w:rsidR="00574F29" w:rsidRPr="00574F29">
        <w:rPr>
          <w:i/>
          <w:iCs/>
        </w:rPr>
        <w:t>per Initial Trigger Message</w:t>
      </w:r>
      <w:r w:rsidR="00574F29">
        <w:t xml:space="preserve">. In short, the number of preamble messages from one Device is multiplied by the number of nearby Readers. </w:t>
      </w:r>
    </w:p>
    <w:p w14:paraId="20526F52" w14:textId="77777777" w:rsidR="00574F29" w:rsidRDefault="00574F29" w:rsidP="00485A0F"/>
    <w:p w14:paraId="6209090F" w14:textId="64590C2C" w:rsidR="00055777" w:rsidRDefault="0015598E" w:rsidP="00485A0F">
      <w:r>
        <w:rPr>
          <w:noProof/>
        </w:rPr>
        <w:lastRenderedPageBreak/>
        <w:drawing>
          <wp:inline distT="0" distB="0" distL="0" distR="0" wp14:anchorId="559B1F8C" wp14:editId="3E9B75C0">
            <wp:extent cx="6097982" cy="18483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54" cy="1853666"/>
                    </a:xfrm>
                    <a:prstGeom prst="rect">
                      <a:avLst/>
                    </a:prstGeom>
                    <a:noFill/>
                    <a:ln>
                      <a:noFill/>
                    </a:ln>
                  </pic:spPr>
                </pic:pic>
              </a:graphicData>
            </a:graphic>
          </wp:inline>
        </w:drawing>
      </w:r>
    </w:p>
    <w:p w14:paraId="0BFDEC6B" w14:textId="09C7EC9B" w:rsidR="00055777" w:rsidRPr="00574F29" w:rsidRDefault="00574F29" w:rsidP="00574F29">
      <w:pPr>
        <w:jc w:val="center"/>
        <w:rPr>
          <w:b/>
          <w:bCs/>
        </w:rPr>
      </w:pPr>
      <w:r w:rsidRPr="00574F29">
        <w:rPr>
          <w:rFonts w:hint="eastAsia"/>
          <w:b/>
          <w:bCs/>
        </w:rPr>
        <w:t>F</w:t>
      </w:r>
      <w:r w:rsidRPr="00574F29">
        <w:rPr>
          <w:b/>
          <w:bCs/>
        </w:rPr>
        <w:t>igure 3. Device sends preamble messages as the number of Readers nearby.</w:t>
      </w:r>
    </w:p>
    <w:p w14:paraId="44480A04" w14:textId="2CA8CF11" w:rsidR="00574F29" w:rsidRDefault="00574F29" w:rsidP="00485A0F">
      <w:r>
        <w:t>On top of that there should be other devices that send preamble messages for multiple times for the same reason. Therefore, the possibility to occur contention increases when Readers are densely deployed.</w:t>
      </w:r>
    </w:p>
    <w:p w14:paraId="5B0481AD" w14:textId="220BE605" w:rsidR="00574F29" w:rsidRPr="00485A0F" w:rsidRDefault="00574F29" w:rsidP="00574F29">
      <w:pPr>
        <w:pStyle w:val="ObservationandProposal"/>
      </w:pPr>
      <w:r>
        <w:rPr>
          <w:rFonts w:hint="eastAsia"/>
        </w:rPr>
        <w:t>O</w:t>
      </w:r>
      <w:r>
        <w:t xml:space="preserve">bservation </w:t>
      </w:r>
      <w:r w:rsidR="00A86D76">
        <w:t>4</w:t>
      </w:r>
      <w:r>
        <w:t>.</w:t>
      </w:r>
      <w:r>
        <w:tab/>
        <w:t xml:space="preserve">Ambient IoT Device will send </w:t>
      </w:r>
      <w:r w:rsidR="00004CE9">
        <w:t>multiple</w:t>
      </w:r>
      <w:r>
        <w:t xml:space="preserve"> first messages for random access same as the number of nearby Ambient IoT Readers, which increases possibility of contention.</w:t>
      </w:r>
    </w:p>
    <w:p w14:paraId="6ED16AC9" w14:textId="6A7FE2C3" w:rsidR="00004CE9" w:rsidRDefault="00004CE9" w:rsidP="007E2FC8">
      <w:pPr>
        <w:rPr>
          <w:szCs w:val="22"/>
        </w:rPr>
      </w:pPr>
      <w:r>
        <w:rPr>
          <w:rFonts w:hint="eastAsia"/>
          <w:szCs w:val="22"/>
        </w:rPr>
        <w:t>T</w:t>
      </w:r>
      <w:r>
        <w:rPr>
          <w:szCs w:val="22"/>
        </w:rPr>
        <w:t>his issue can be resolved by introducing Paging ID in the Initial Trigger Message. The CN indicates the same Paging ID to Readers for one attempt. Then, as depicted in Figure 4, the Readers transmit Initial Trigger Messages attached with the same Paging ID. The Device can discard Initial Trigger Messages with Paging ID already received to avoid duplicated transmission of preamble message.</w:t>
      </w:r>
    </w:p>
    <w:p w14:paraId="1308050B" w14:textId="68F744EA" w:rsidR="00004CE9" w:rsidRDefault="00004CE9" w:rsidP="007E2FC8">
      <w:pPr>
        <w:rPr>
          <w:szCs w:val="22"/>
        </w:rPr>
      </w:pPr>
      <w:r>
        <w:rPr>
          <w:noProof/>
          <w:szCs w:val="22"/>
        </w:rPr>
        <w:drawing>
          <wp:inline distT="0" distB="0" distL="0" distR="0" wp14:anchorId="2809BB52" wp14:editId="2CABB722">
            <wp:extent cx="6084316" cy="1883568"/>
            <wp:effectExtent l="0" t="0" r="0" b="254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7658" cy="1893890"/>
                    </a:xfrm>
                    <a:prstGeom prst="rect">
                      <a:avLst/>
                    </a:prstGeom>
                    <a:noFill/>
                    <a:ln>
                      <a:noFill/>
                    </a:ln>
                  </pic:spPr>
                </pic:pic>
              </a:graphicData>
            </a:graphic>
          </wp:inline>
        </w:drawing>
      </w:r>
    </w:p>
    <w:p w14:paraId="44E8F144" w14:textId="292FF84E" w:rsidR="0083168F" w:rsidRPr="00004CE9" w:rsidRDefault="00004CE9" w:rsidP="00004CE9">
      <w:pPr>
        <w:jc w:val="center"/>
        <w:rPr>
          <w:b/>
          <w:bCs/>
          <w:szCs w:val="22"/>
        </w:rPr>
      </w:pPr>
      <w:r w:rsidRPr="00004CE9">
        <w:rPr>
          <w:rFonts w:hint="eastAsia"/>
          <w:b/>
          <w:bCs/>
          <w:szCs w:val="22"/>
        </w:rPr>
        <w:t>F</w:t>
      </w:r>
      <w:r w:rsidRPr="00004CE9">
        <w:rPr>
          <w:b/>
          <w:bCs/>
          <w:szCs w:val="22"/>
        </w:rPr>
        <w:t xml:space="preserve">igure 4. Paging ID enables to avoid transmission of </w:t>
      </w:r>
      <w:proofErr w:type="spellStart"/>
      <w:r w:rsidRPr="00004CE9">
        <w:rPr>
          <w:b/>
          <w:bCs/>
          <w:szCs w:val="22"/>
        </w:rPr>
        <w:t>duple</w:t>
      </w:r>
      <w:r w:rsidR="00243C5C">
        <w:rPr>
          <w:b/>
          <w:bCs/>
          <w:szCs w:val="22"/>
        </w:rPr>
        <w:t>cate</w:t>
      </w:r>
      <w:r w:rsidRPr="00004CE9">
        <w:rPr>
          <w:b/>
          <w:bCs/>
          <w:szCs w:val="22"/>
        </w:rPr>
        <w:t>d</w:t>
      </w:r>
      <w:proofErr w:type="spellEnd"/>
      <w:r w:rsidRPr="00004CE9">
        <w:rPr>
          <w:b/>
          <w:bCs/>
          <w:szCs w:val="22"/>
        </w:rPr>
        <w:t xml:space="preserve"> preamble messages</w:t>
      </w:r>
      <w:r>
        <w:rPr>
          <w:b/>
          <w:bCs/>
          <w:szCs w:val="22"/>
        </w:rPr>
        <w:t>.</w:t>
      </w:r>
    </w:p>
    <w:p w14:paraId="5E5FEBBC" w14:textId="0E435420" w:rsidR="00004CE9" w:rsidRDefault="00004CE9" w:rsidP="00004CE9">
      <w:pPr>
        <w:pStyle w:val="ObservationandProposal"/>
      </w:pPr>
      <w:r>
        <w:rPr>
          <w:rFonts w:hint="eastAsia"/>
        </w:rPr>
        <w:t>O</w:t>
      </w:r>
      <w:r>
        <w:t xml:space="preserve">bservation </w:t>
      </w:r>
      <w:r w:rsidR="00A86D76">
        <w:t>5</w:t>
      </w:r>
      <w:r>
        <w:t>.</w:t>
      </w:r>
      <w:r>
        <w:tab/>
        <w:t xml:space="preserve">Duplicated transmission of </w:t>
      </w:r>
      <w:r w:rsidR="0026467A">
        <w:t>first messages for random access can be avoided via discarding Initial Trigger Messages with the same Paging ID.</w:t>
      </w:r>
    </w:p>
    <w:p w14:paraId="4C4E298F" w14:textId="3DEEB769" w:rsidR="0026467A" w:rsidRDefault="00004CE9" w:rsidP="0026467A">
      <w:pPr>
        <w:pStyle w:val="ObservationandProposal"/>
      </w:pPr>
      <w:r>
        <w:rPr>
          <w:rFonts w:hint="eastAsia"/>
        </w:rPr>
        <w:t>P</w:t>
      </w:r>
      <w:r>
        <w:t xml:space="preserve">roposal </w:t>
      </w:r>
      <w:r w:rsidR="00A86D76">
        <w:t>2</w:t>
      </w:r>
      <w:r>
        <w:t>.</w:t>
      </w:r>
      <w:r>
        <w:tab/>
        <w:t>Introduce Paging ID to be attached to the Initial Trigger Message.</w:t>
      </w:r>
      <w:r w:rsidR="0026467A">
        <w:rPr>
          <w:rFonts w:hint="eastAsia"/>
        </w:rPr>
        <w:t xml:space="preserve"> </w:t>
      </w:r>
      <w:r w:rsidR="0026467A">
        <w:t>Ambient IoT Devices have to respond only once to Initial Trigger Messages with the same Paging ID.</w:t>
      </w:r>
    </w:p>
    <w:p w14:paraId="6126C0CF" w14:textId="77777777" w:rsidR="00004CE9" w:rsidRDefault="00004CE9" w:rsidP="007E2FC8">
      <w:pPr>
        <w:rPr>
          <w:szCs w:val="22"/>
        </w:rPr>
      </w:pPr>
    </w:p>
    <w:p w14:paraId="18531B2A" w14:textId="49FE4CCD" w:rsidR="005A218C" w:rsidRDefault="005A218C" w:rsidP="007E2FC8">
      <w:pPr>
        <w:rPr>
          <w:szCs w:val="22"/>
        </w:rPr>
      </w:pPr>
      <w:r>
        <w:rPr>
          <w:szCs w:val="22"/>
        </w:rPr>
        <w:t>If we introduce Paging ID described above, the Device will send preamble message only once. However, given the scenario where the Readers are densely deployed, a preamble message sent by a Device can be received by multiple Readers.</w:t>
      </w:r>
      <w:r>
        <w:rPr>
          <w:rFonts w:hint="eastAsia"/>
          <w:szCs w:val="22"/>
        </w:rPr>
        <w:t xml:space="preserve"> </w:t>
      </w:r>
      <w:r>
        <w:rPr>
          <w:szCs w:val="22"/>
        </w:rPr>
        <w:t>Then, if no contention occurs, the Device successfully completes random access-like procedure to multiple Readers, and as you can see in Figure 1</w:t>
      </w:r>
      <w:r w:rsidR="00243C5C">
        <w:rPr>
          <w:szCs w:val="22"/>
        </w:rPr>
        <w:t xml:space="preserve"> or 2</w:t>
      </w:r>
      <w:r>
        <w:rPr>
          <w:szCs w:val="22"/>
        </w:rPr>
        <w:t xml:space="preserve"> in Section 2.1, the Device can start transmission of NAS message to the CN</w:t>
      </w:r>
      <w:r w:rsidR="00243C5C">
        <w:rPr>
          <w:szCs w:val="22"/>
        </w:rPr>
        <w:t xml:space="preserve"> (and depending on discussion more NAS(-like) messages could be exchanged between the Device and the CN).</w:t>
      </w:r>
    </w:p>
    <w:p w14:paraId="574C373D" w14:textId="1F8573A5" w:rsidR="005A218C" w:rsidRDefault="00243C5C" w:rsidP="007E2FC8">
      <w:pPr>
        <w:rPr>
          <w:szCs w:val="22"/>
        </w:rPr>
      </w:pPr>
      <w:r>
        <w:rPr>
          <w:szCs w:val="22"/>
        </w:rPr>
        <w:t xml:space="preserve">We would like to note that the NAS(-like) messages are exchanged between the Ambient IoT Device and the CN, and the Ambient IoT Reader has nothing to do with the NAS message. From that point of </w:t>
      </w:r>
      <w:r>
        <w:rPr>
          <w:szCs w:val="22"/>
        </w:rPr>
        <w:lastRenderedPageBreak/>
        <w:t>view, the duplicated paths for NAS messages are not necessary but waste of radio resources for Readers.</w:t>
      </w:r>
    </w:p>
    <w:p w14:paraId="1CC7AE0C" w14:textId="1E6E7F60" w:rsidR="00243C5C" w:rsidRDefault="00243C5C" w:rsidP="00243C5C">
      <w:pPr>
        <w:pStyle w:val="ObservationandProposal"/>
      </w:pPr>
      <w:r>
        <w:rPr>
          <w:rFonts w:hint="eastAsia"/>
        </w:rPr>
        <w:t>O</w:t>
      </w:r>
      <w:r>
        <w:t xml:space="preserve">bservation </w:t>
      </w:r>
      <w:r w:rsidR="00A86D76">
        <w:t>6</w:t>
      </w:r>
      <w:r>
        <w:t>.</w:t>
      </w:r>
      <w:r>
        <w:tab/>
        <w:t>Reception of a preamble message by multiple Readers can result in duplicated NAS messages which are not necessary but waste of radio resources for Readers.</w:t>
      </w:r>
    </w:p>
    <w:p w14:paraId="3ED3E71A" w14:textId="0468E14D" w:rsidR="00243C5C" w:rsidRDefault="00243C5C" w:rsidP="007E2FC8">
      <w:pPr>
        <w:rPr>
          <w:szCs w:val="22"/>
        </w:rPr>
      </w:pPr>
      <w:r>
        <w:rPr>
          <w:rFonts w:hint="eastAsia"/>
          <w:szCs w:val="22"/>
        </w:rPr>
        <w:t>T</w:t>
      </w:r>
      <w:r>
        <w:rPr>
          <w:szCs w:val="22"/>
        </w:rPr>
        <w:t xml:space="preserve">his issue can be resolved by introducing Reader ID for each Ambient IoT Reader. </w:t>
      </w:r>
      <w:r w:rsidR="00984A2A">
        <w:rPr>
          <w:szCs w:val="22"/>
        </w:rPr>
        <w:t>As depicted in Figure 4, t</w:t>
      </w:r>
      <w:r>
        <w:rPr>
          <w:szCs w:val="22"/>
        </w:rPr>
        <w:t xml:space="preserve">he CN configures Reader ID, and the Reader attaches </w:t>
      </w:r>
      <w:r w:rsidR="00984A2A">
        <w:rPr>
          <w:szCs w:val="22"/>
        </w:rPr>
        <w:t>its Reader ID in every Initial Trigger Message. The Device can send preamble message including Reader ID to report which Reader it is responding to. The behavior when the Reader configured of different Reader ID receives the preamble message can be discussed more. One simple way is to just discard the preamble message.</w:t>
      </w:r>
    </w:p>
    <w:p w14:paraId="69801B84" w14:textId="50242BAC" w:rsidR="005A218C" w:rsidRDefault="00984A2A" w:rsidP="007E2FC8">
      <w:pPr>
        <w:rPr>
          <w:szCs w:val="22"/>
        </w:rPr>
      </w:pPr>
      <w:r>
        <w:rPr>
          <w:noProof/>
          <w:szCs w:val="22"/>
        </w:rPr>
        <w:drawing>
          <wp:inline distT="0" distB="0" distL="0" distR="0" wp14:anchorId="6EBD4B13" wp14:editId="60F9D079">
            <wp:extent cx="6033148" cy="1834058"/>
            <wp:effectExtent l="0" t="0" r="571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873" cy="1838534"/>
                    </a:xfrm>
                    <a:prstGeom prst="rect">
                      <a:avLst/>
                    </a:prstGeom>
                    <a:noFill/>
                    <a:ln>
                      <a:noFill/>
                    </a:ln>
                  </pic:spPr>
                </pic:pic>
              </a:graphicData>
            </a:graphic>
          </wp:inline>
        </w:drawing>
      </w:r>
    </w:p>
    <w:p w14:paraId="765D6D25" w14:textId="3A61429E" w:rsidR="00243C5C" w:rsidRPr="00004CE9" w:rsidRDefault="00243C5C" w:rsidP="00243C5C">
      <w:pPr>
        <w:jc w:val="center"/>
        <w:rPr>
          <w:b/>
          <w:bCs/>
          <w:szCs w:val="22"/>
        </w:rPr>
      </w:pPr>
      <w:r w:rsidRPr="00004CE9">
        <w:rPr>
          <w:rFonts w:hint="eastAsia"/>
          <w:b/>
          <w:bCs/>
          <w:szCs w:val="22"/>
        </w:rPr>
        <w:t>F</w:t>
      </w:r>
      <w:r w:rsidRPr="00004CE9">
        <w:rPr>
          <w:b/>
          <w:bCs/>
          <w:szCs w:val="22"/>
        </w:rPr>
        <w:t xml:space="preserve">igure 4. </w:t>
      </w:r>
      <w:r>
        <w:rPr>
          <w:b/>
          <w:bCs/>
          <w:szCs w:val="22"/>
        </w:rPr>
        <w:t>Reader</w:t>
      </w:r>
      <w:r w:rsidRPr="00004CE9">
        <w:rPr>
          <w:b/>
          <w:bCs/>
          <w:szCs w:val="22"/>
        </w:rPr>
        <w:t xml:space="preserve"> ID enables to avoid </w:t>
      </w:r>
      <w:r w:rsidR="00984A2A">
        <w:rPr>
          <w:b/>
          <w:bCs/>
          <w:szCs w:val="22"/>
        </w:rPr>
        <w:t>duplicated transmission of</w:t>
      </w:r>
      <w:r w:rsidRPr="00004CE9">
        <w:rPr>
          <w:b/>
          <w:bCs/>
          <w:szCs w:val="22"/>
        </w:rPr>
        <w:t xml:space="preserve"> </w:t>
      </w:r>
      <w:r>
        <w:rPr>
          <w:b/>
          <w:bCs/>
          <w:szCs w:val="22"/>
        </w:rPr>
        <w:t>NAS message</w:t>
      </w:r>
      <w:r w:rsidRPr="00004CE9">
        <w:rPr>
          <w:b/>
          <w:bCs/>
          <w:szCs w:val="22"/>
        </w:rPr>
        <w:t>s</w:t>
      </w:r>
      <w:r>
        <w:rPr>
          <w:b/>
          <w:bCs/>
          <w:szCs w:val="22"/>
        </w:rPr>
        <w:t>.</w:t>
      </w:r>
    </w:p>
    <w:p w14:paraId="2A054F98" w14:textId="08D37CEB" w:rsidR="00DF134B" w:rsidRDefault="00DF134B" w:rsidP="00984A2A">
      <w:pPr>
        <w:pStyle w:val="ObservationandProposal"/>
      </w:pPr>
      <w:r>
        <w:rPr>
          <w:rFonts w:hint="eastAsia"/>
        </w:rPr>
        <w:t>O</w:t>
      </w:r>
      <w:r>
        <w:t>bservation 7.</w:t>
      </w:r>
      <w:r>
        <w:tab/>
        <w:t>Ambient IoT Reader can save radio resources to allocate to Devices responding to other Readers if Reader ID is introduced.</w:t>
      </w:r>
    </w:p>
    <w:p w14:paraId="60CE1B1C" w14:textId="61B64F19" w:rsidR="005A218C" w:rsidRDefault="00984A2A" w:rsidP="00984A2A">
      <w:pPr>
        <w:pStyle w:val="ObservationandProposal"/>
      </w:pPr>
      <w:r>
        <w:rPr>
          <w:rFonts w:hint="eastAsia"/>
        </w:rPr>
        <w:t>P</w:t>
      </w:r>
      <w:r>
        <w:t xml:space="preserve">roposal </w:t>
      </w:r>
      <w:r w:rsidR="00A86D76">
        <w:t>3</w:t>
      </w:r>
      <w:r>
        <w:t>.</w:t>
      </w:r>
      <w:r>
        <w:tab/>
        <w:t>Introduce Reader ID to be attached to the Initial Trigger Message.</w:t>
      </w:r>
      <w:r>
        <w:rPr>
          <w:rFonts w:hint="eastAsia"/>
        </w:rPr>
        <w:t xml:space="preserve"> </w:t>
      </w:r>
      <w:r>
        <w:t>Ambient IoT Devices can include a Reader ID in the</w:t>
      </w:r>
      <w:r w:rsidRPr="00984A2A">
        <w:t xml:space="preserve"> </w:t>
      </w:r>
      <w:r>
        <w:t>first messages for random access.</w:t>
      </w:r>
    </w:p>
    <w:p w14:paraId="24FD0897" w14:textId="77777777" w:rsidR="00004CE9" w:rsidRPr="00262F8E" w:rsidRDefault="00004CE9"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5D52CC80" w14:textId="76F95691" w:rsidR="00A86D76" w:rsidRDefault="00A86D76" w:rsidP="00A86D76">
      <w:pPr>
        <w:pStyle w:val="ObservationandProposal"/>
      </w:pPr>
      <w:r>
        <w:rPr>
          <w:rFonts w:hint="eastAsia"/>
        </w:rPr>
        <w:t>O</w:t>
      </w:r>
      <w:r>
        <w:t>bservation 1.</w:t>
      </w:r>
      <w:r>
        <w:tab/>
        <w:t>Permanent or temporary Device IDs are indicated in the Initial Trigger Message.</w:t>
      </w:r>
    </w:p>
    <w:p w14:paraId="567036E4" w14:textId="431E4A5A" w:rsidR="00A86D76" w:rsidRDefault="00A86D76" w:rsidP="00A86D76">
      <w:pPr>
        <w:pStyle w:val="ObservationandProposal"/>
      </w:pPr>
      <w:r>
        <w:rPr>
          <w:rFonts w:hint="eastAsia"/>
        </w:rPr>
        <w:t>O</w:t>
      </w:r>
      <w:r>
        <w:t>bservation 2.</w:t>
      </w:r>
      <w:r>
        <w:tab/>
        <w:t>The Initial Trigger Message is not security protected.</w:t>
      </w:r>
    </w:p>
    <w:p w14:paraId="2E3E7D11" w14:textId="77777777" w:rsidR="00A86D76" w:rsidRDefault="00A86D76" w:rsidP="00A86D76">
      <w:pPr>
        <w:pStyle w:val="ObservationandProposal"/>
      </w:pPr>
      <w:r>
        <w:rPr>
          <w:rFonts w:hint="eastAsia"/>
        </w:rPr>
        <w:t>O</w:t>
      </w:r>
      <w:r>
        <w:t>bservation 3.</w:t>
      </w:r>
      <w:r>
        <w:tab/>
      </w:r>
      <w:r>
        <w:rPr>
          <w:bCs w:val="0"/>
        </w:rPr>
        <w:t>Temporary ID controlled by a CN node (like TMSI) is more suitable than that controlled by Ambient IoT Reader (like RNTI).</w:t>
      </w:r>
    </w:p>
    <w:p w14:paraId="2E50BA1C" w14:textId="77777777" w:rsidR="00A86D76" w:rsidRDefault="00A86D76" w:rsidP="00A86D76">
      <w:pPr>
        <w:pStyle w:val="ObservationandProposal"/>
      </w:pPr>
      <w:r>
        <w:rPr>
          <w:rFonts w:hint="eastAsia"/>
        </w:rPr>
        <w:t>P</w:t>
      </w:r>
      <w:r>
        <w:t>roposal 1.</w:t>
      </w:r>
      <w:r>
        <w:tab/>
        <w:t>Ambient IoT Reader indicates temporary Device IDs or groups of temporary Device IDs in the Initial Trigger Message.</w:t>
      </w:r>
    </w:p>
    <w:p w14:paraId="355BA385" w14:textId="77777777" w:rsidR="00A86D76" w:rsidRPr="00485A0F" w:rsidRDefault="00A86D76" w:rsidP="00A86D76">
      <w:pPr>
        <w:pStyle w:val="ObservationandProposal"/>
      </w:pPr>
      <w:r>
        <w:rPr>
          <w:rFonts w:hint="eastAsia"/>
        </w:rPr>
        <w:t>O</w:t>
      </w:r>
      <w:r>
        <w:t>bservation 4.</w:t>
      </w:r>
      <w:r>
        <w:tab/>
        <w:t>Ambient IoT Device will send multiple first messages for random access same as the number of nearby Ambient IoT Readers, which increases possibility of contention.</w:t>
      </w:r>
    </w:p>
    <w:p w14:paraId="6777A0CF" w14:textId="77777777" w:rsidR="00A86D76" w:rsidRDefault="00A86D76" w:rsidP="00A86D76">
      <w:pPr>
        <w:pStyle w:val="ObservationandProposal"/>
      </w:pPr>
      <w:r>
        <w:rPr>
          <w:rFonts w:hint="eastAsia"/>
        </w:rPr>
        <w:t>O</w:t>
      </w:r>
      <w:r>
        <w:t>bservation 5.</w:t>
      </w:r>
      <w:r>
        <w:tab/>
        <w:t>Duplicated transmission of first messages for random access can be avoided via discarding Initial Trigger Messages with the same Paging ID.</w:t>
      </w:r>
    </w:p>
    <w:p w14:paraId="7361149D" w14:textId="77777777" w:rsidR="00A86D76" w:rsidRDefault="00A86D76" w:rsidP="00A86D76">
      <w:pPr>
        <w:pStyle w:val="ObservationandProposal"/>
      </w:pPr>
      <w:r>
        <w:rPr>
          <w:rFonts w:hint="eastAsia"/>
        </w:rPr>
        <w:t>P</w:t>
      </w:r>
      <w:r>
        <w:t>roposal 2.</w:t>
      </w:r>
      <w:r>
        <w:tab/>
        <w:t>Introduce Paging ID to be attached to the Initial Trigger Message.</w:t>
      </w:r>
      <w:r>
        <w:rPr>
          <w:rFonts w:hint="eastAsia"/>
        </w:rPr>
        <w:t xml:space="preserve"> </w:t>
      </w:r>
      <w:r>
        <w:t>Ambient IoT Devices have to respond only once to Initial Trigger Messages with the same Paging ID.</w:t>
      </w:r>
    </w:p>
    <w:p w14:paraId="3F9C3BA6" w14:textId="77777777" w:rsidR="00A86D76" w:rsidRDefault="00A86D76" w:rsidP="00A86D76">
      <w:pPr>
        <w:pStyle w:val="ObservationandProposal"/>
      </w:pPr>
      <w:r>
        <w:rPr>
          <w:rFonts w:hint="eastAsia"/>
        </w:rPr>
        <w:t>O</w:t>
      </w:r>
      <w:r>
        <w:t>bservation 6.</w:t>
      </w:r>
      <w:r>
        <w:tab/>
        <w:t>Reception of a preamble message by multiple Readers can result in duplicated NAS messages which are not necessary but waste of radio resources for Readers.</w:t>
      </w:r>
    </w:p>
    <w:p w14:paraId="2EC6DF0A" w14:textId="77777777" w:rsidR="00DF134B" w:rsidRDefault="00DF134B" w:rsidP="00DF134B">
      <w:pPr>
        <w:pStyle w:val="ObservationandProposal"/>
      </w:pPr>
      <w:r>
        <w:rPr>
          <w:rFonts w:hint="eastAsia"/>
        </w:rPr>
        <w:lastRenderedPageBreak/>
        <w:t>O</w:t>
      </w:r>
      <w:r>
        <w:t>bservation 7.</w:t>
      </w:r>
      <w:r>
        <w:tab/>
        <w:t>Ambient IoT Reader can save radio resources to allocate to Devices responding to other Readers if Reader ID is introduced.</w:t>
      </w:r>
    </w:p>
    <w:p w14:paraId="7979977F" w14:textId="77777777" w:rsidR="00DF134B" w:rsidRDefault="00DF134B" w:rsidP="00DF134B">
      <w:pPr>
        <w:pStyle w:val="ObservationandProposal"/>
      </w:pPr>
      <w:r>
        <w:rPr>
          <w:rFonts w:hint="eastAsia"/>
        </w:rPr>
        <w:t>P</w:t>
      </w:r>
      <w:r>
        <w:t>roposal 3.</w:t>
      </w:r>
      <w:r>
        <w:tab/>
        <w:t>Introduce Reader ID to be attached to the Initial Trigger Message.</w:t>
      </w:r>
      <w:r>
        <w:rPr>
          <w:rFonts w:hint="eastAsia"/>
        </w:rPr>
        <w:t xml:space="preserve"> </w:t>
      </w:r>
      <w:r>
        <w:t>Ambient IoT Devices can include a Reader ID in the</w:t>
      </w:r>
      <w:r w:rsidRPr="00984A2A">
        <w:t xml:space="preserve"> </w:t>
      </w:r>
      <w:r>
        <w:t>first messages for random access.</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04B6754D" w:rsidR="007E2FC8" w:rsidRDefault="00DF134B" w:rsidP="00452602">
      <w:pPr>
        <w:pStyle w:val="Reference"/>
      </w:pPr>
      <w:bookmarkStart w:id="6" w:name="_Hlk166234905"/>
      <w:r>
        <w:rPr>
          <w:rFonts w:hint="eastAsia"/>
        </w:rPr>
        <w:t>[1]</w:t>
      </w:r>
      <w:r w:rsidR="00452602">
        <w:tab/>
      </w:r>
      <w:r>
        <w:t>Chair notes, RAN2#125bis.</w:t>
      </w:r>
    </w:p>
    <w:p w14:paraId="31C357EC" w14:textId="5F8DAC9D" w:rsidR="00E50D30" w:rsidRPr="00262F8E" w:rsidRDefault="00E50D30" w:rsidP="00452602">
      <w:pPr>
        <w:pStyle w:val="Reference"/>
      </w:pPr>
      <w:r>
        <w:rPr>
          <w:rFonts w:hint="eastAsia"/>
        </w:rPr>
        <w:t>[</w:t>
      </w:r>
      <w:r>
        <w:t>2]</w:t>
      </w:r>
      <w:r>
        <w:tab/>
        <w:t>R2-24</w:t>
      </w:r>
      <w:r w:rsidR="000C6A06">
        <w:t>05598</w:t>
      </w:r>
      <w:r>
        <w:t>, “</w:t>
      </w:r>
      <w:r w:rsidRPr="00E50D30">
        <w:t>Discussion on Stage 2 aspects for Ambient IoT</w:t>
      </w:r>
      <w:r>
        <w:t>,” NTT DOCOMO, INC., RAN2#126.</w:t>
      </w:r>
    </w:p>
    <w:bookmarkEnd w:id="6"/>
    <w:p w14:paraId="71FB5545" w14:textId="77777777" w:rsidR="008E5A66" w:rsidRPr="00262F8E" w:rsidRDefault="008E5A66">
      <w:pPr>
        <w:rPr>
          <w:szCs w:val="22"/>
        </w:rPr>
      </w:pPr>
    </w:p>
    <w:sectPr w:rsidR="008E5A66" w:rsidRPr="00262F8E">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425FF" w14:textId="77777777" w:rsidR="00321874" w:rsidRDefault="00321874" w:rsidP="007E2FC8">
      <w:pPr>
        <w:spacing w:after="0"/>
      </w:pPr>
      <w:r>
        <w:separator/>
      </w:r>
    </w:p>
    <w:p w14:paraId="648256EA" w14:textId="77777777" w:rsidR="00321874" w:rsidRDefault="00321874"/>
    <w:p w14:paraId="774D4072" w14:textId="77777777" w:rsidR="00321874" w:rsidRDefault="00321874" w:rsidP="00273403"/>
  </w:endnote>
  <w:endnote w:type="continuationSeparator" w:id="0">
    <w:p w14:paraId="601D1FE3" w14:textId="77777777" w:rsidR="00321874" w:rsidRDefault="00321874" w:rsidP="007E2FC8">
      <w:pPr>
        <w:spacing w:after="0"/>
      </w:pPr>
      <w:r>
        <w:continuationSeparator/>
      </w:r>
    </w:p>
    <w:p w14:paraId="585D1F94" w14:textId="77777777" w:rsidR="00321874" w:rsidRDefault="00321874"/>
    <w:p w14:paraId="079161FC" w14:textId="77777777" w:rsidR="00321874" w:rsidRDefault="00321874"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C271A" w:rsidRDefault="003C271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AD532" w14:textId="77777777" w:rsidR="00321874" w:rsidRDefault="00321874" w:rsidP="007E2FC8">
      <w:pPr>
        <w:spacing w:after="0"/>
      </w:pPr>
      <w:r>
        <w:separator/>
      </w:r>
    </w:p>
    <w:p w14:paraId="7C51C9A2" w14:textId="77777777" w:rsidR="00321874" w:rsidRDefault="00321874"/>
    <w:p w14:paraId="68B15053" w14:textId="77777777" w:rsidR="00321874" w:rsidRDefault="00321874" w:rsidP="00273403"/>
  </w:footnote>
  <w:footnote w:type="continuationSeparator" w:id="0">
    <w:p w14:paraId="004F2DA3" w14:textId="77777777" w:rsidR="00321874" w:rsidRDefault="00321874" w:rsidP="007E2FC8">
      <w:pPr>
        <w:spacing w:after="0"/>
      </w:pPr>
      <w:r>
        <w:continuationSeparator/>
      </w:r>
    </w:p>
    <w:p w14:paraId="78968394" w14:textId="77777777" w:rsidR="00321874" w:rsidRDefault="00321874"/>
    <w:p w14:paraId="4142BBE7" w14:textId="77777777" w:rsidR="00321874" w:rsidRDefault="00321874"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1DB0"/>
    <w:multiLevelType w:val="multilevel"/>
    <w:tmpl w:val="56EC2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6968174E"/>
    <w:multiLevelType w:val="hybridMultilevel"/>
    <w:tmpl w:val="C2DE701A"/>
    <w:lvl w:ilvl="0" w:tplc="AF221D06">
      <w:start w:val="9"/>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6" w15:restartNumberingAfterBreak="0">
    <w:nsid w:val="792606AF"/>
    <w:multiLevelType w:val="multilevel"/>
    <w:tmpl w:val="3BC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66942341">
    <w:abstractNumId w:val="5"/>
  </w:num>
  <w:num w:numId="2" w16cid:durableId="1916432099">
    <w:abstractNumId w:val="3"/>
  </w:num>
  <w:num w:numId="3" w16cid:durableId="961111639">
    <w:abstractNumId w:val="4"/>
  </w:num>
  <w:num w:numId="4" w16cid:durableId="1589534433">
    <w:abstractNumId w:val="1"/>
  </w:num>
  <w:num w:numId="5" w16cid:durableId="891041236">
    <w:abstractNumId w:val="0"/>
    <w:lvlOverride w:ilvl="0">
      <w:startOverride w:val="1"/>
    </w:lvlOverride>
  </w:num>
  <w:num w:numId="6" w16cid:durableId="2012752785">
    <w:abstractNumId w:val="6"/>
    <w:lvlOverride w:ilvl="0">
      <w:startOverride w:val="5"/>
    </w:lvlOverride>
  </w:num>
  <w:num w:numId="7" w16cid:durableId="3216633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CE9"/>
    <w:rsid w:val="00055777"/>
    <w:rsid w:val="000B6616"/>
    <w:rsid w:val="000C6A06"/>
    <w:rsid w:val="000E1585"/>
    <w:rsid w:val="001376E5"/>
    <w:rsid w:val="0015598E"/>
    <w:rsid w:val="001F27AA"/>
    <w:rsid w:val="00243C5C"/>
    <w:rsid w:val="00262F8E"/>
    <w:rsid w:val="0026467A"/>
    <w:rsid w:val="00273403"/>
    <w:rsid w:val="002B674A"/>
    <w:rsid w:val="002C1350"/>
    <w:rsid w:val="00321874"/>
    <w:rsid w:val="00385B37"/>
    <w:rsid w:val="003965B3"/>
    <w:rsid w:val="003B1ED1"/>
    <w:rsid w:val="003C271A"/>
    <w:rsid w:val="00403E3D"/>
    <w:rsid w:val="00407577"/>
    <w:rsid w:val="00452602"/>
    <w:rsid w:val="00485A0F"/>
    <w:rsid w:val="004A3CEE"/>
    <w:rsid w:val="004D1B48"/>
    <w:rsid w:val="004E6B03"/>
    <w:rsid w:val="004F6390"/>
    <w:rsid w:val="00506F4F"/>
    <w:rsid w:val="00537958"/>
    <w:rsid w:val="00574F29"/>
    <w:rsid w:val="005839E2"/>
    <w:rsid w:val="005857F6"/>
    <w:rsid w:val="005A218C"/>
    <w:rsid w:val="005F1EB4"/>
    <w:rsid w:val="005F73C8"/>
    <w:rsid w:val="00710F23"/>
    <w:rsid w:val="00745CD4"/>
    <w:rsid w:val="007614CE"/>
    <w:rsid w:val="00780551"/>
    <w:rsid w:val="007E239A"/>
    <w:rsid w:val="007E2FC8"/>
    <w:rsid w:val="00813CA1"/>
    <w:rsid w:val="0083168F"/>
    <w:rsid w:val="00896DC7"/>
    <w:rsid w:val="008B7141"/>
    <w:rsid w:val="008C2D47"/>
    <w:rsid w:val="008E5A66"/>
    <w:rsid w:val="00903130"/>
    <w:rsid w:val="0092515C"/>
    <w:rsid w:val="00936FCA"/>
    <w:rsid w:val="0094262D"/>
    <w:rsid w:val="00982FE2"/>
    <w:rsid w:val="00984A2A"/>
    <w:rsid w:val="00991F61"/>
    <w:rsid w:val="00A32033"/>
    <w:rsid w:val="00A76BF5"/>
    <w:rsid w:val="00A86D76"/>
    <w:rsid w:val="00A9226F"/>
    <w:rsid w:val="00AA698C"/>
    <w:rsid w:val="00AB422A"/>
    <w:rsid w:val="00B17374"/>
    <w:rsid w:val="00B329A1"/>
    <w:rsid w:val="00C97CFC"/>
    <w:rsid w:val="00CA179F"/>
    <w:rsid w:val="00D40190"/>
    <w:rsid w:val="00D8679B"/>
    <w:rsid w:val="00D94041"/>
    <w:rsid w:val="00DB76B3"/>
    <w:rsid w:val="00DE6140"/>
    <w:rsid w:val="00DF134B"/>
    <w:rsid w:val="00E2631E"/>
    <w:rsid w:val="00E45013"/>
    <w:rsid w:val="00E50D30"/>
    <w:rsid w:val="00E638ED"/>
    <w:rsid w:val="00EB1AD1"/>
    <w:rsid w:val="00EE79AE"/>
    <w:rsid w:val="00EF0EE8"/>
    <w:rsid w:val="00F34514"/>
    <w:rsid w:val="00F560E5"/>
    <w:rsid w:val="00F62D63"/>
    <w:rsid w:val="00F825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48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82FE2"/>
    <w:pPr>
      <w:spacing w:before="100" w:beforeAutospacing="1" w:after="100" w:afterAutospacing="1"/>
    </w:pPr>
    <w:rPr>
      <w:rFonts w:ascii="ＭＳ Ｐゴシック" w:eastAsia="ＭＳ Ｐゴシック" w:hAnsi="ＭＳ Ｐゴシック" w:cs="ＭＳ Ｐゴシック"/>
      <w:sz w:val="24"/>
      <w:szCs w:val="24"/>
    </w:rPr>
  </w:style>
  <w:style w:type="paragraph" w:styleId="ab">
    <w:name w:val="List Paragraph"/>
    <w:basedOn w:val="a"/>
    <w:uiPriority w:val="34"/>
    <w:qFormat/>
    <w:rsid w:val="00982FE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17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7</Pages>
  <Words>1951</Words>
  <Characters>11122</Characters>
  <Application>Microsoft Office Word</Application>
  <DocSecurity>0</DocSecurity>
  <Lines>92</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42</cp:revision>
  <dcterms:created xsi:type="dcterms:W3CDTF">2021-10-20T07:13:00Z</dcterms:created>
  <dcterms:modified xsi:type="dcterms:W3CDTF">2024-05-10T09:02:00Z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